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D7CF98C">
      <w:pPr>
        <w:spacing w:before="3120" w:beforeLines="1000"/>
        <w:jc w:val="center"/>
        <w:rPr>
          <w:rFonts w:ascii="宋体" w:hAnsi="宋体" w:eastAsia="宋体" w:cs="宋体"/>
          <w:b/>
          <w:bCs/>
          <w:color w:val="000000" w:themeColor="text1"/>
          <w:sz w:val="52"/>
          <w:szCs w:val="52"/>
          <w14:textFill>
            <w14:solidFill>
              <w14:schemeClr w14:val="tx1"/>
            </w14:solidFill>
          </w14:textFill>
        </w:rPr>
      </w:pPr>
      <w:r>
        <w:rPr>
          <w:rFonts w:hint="eastAsia" w:ascii="宋体" w:hAnsi="宋体" w:eastAsia="宋体" w:cs="宋体"/>
          <w:b/>
          <w:bCs/>
          <w:color w:val="000000" w:themeColor="text1"/>
          <w:sz w:val="52"/>
          <w:szCs w:val="52"/>
          <w14:textFill>
            <w14:solidFill>
              <w14:schemeClr w14:val="tx1"/>
            </w14:solidFill>
          </w14:textFill>
        </w:rPr>
        <w:t>《电工电子技术基础》</w:t>
      </w:r>
    </w:p>
    <w:p w14:paraId="4E7E42F4">
      <w:pPr>
        <w:jc w:val="center"/>
        <w:rPr>
          <w:rFonts w:ascii="宋体" w:hAnsi="宋体" w:eastAsia="宋体" w:cs="宋体"/>
          <w:b/>
          <w:bCs/>
          <w:color w:val="000000" w:themeColor="text1"/>
          <w:sz w:val="52"/>
          <w:szCs w:val="52"/>
          <w14:textFill>
            <w14:solidFill>
              <w14:schemeClr w14:val="tx1"/>
            </w14:solidFill>
          </w14:textFill>
        </w:rPr>
      </w:pPr>
      <w:r>
        <w:rPr>
          <w:rFonts w:hint="eastAsia" w:ascii="宋体" w:hAnsi="宋体" w:eastAsia="宋体" w:cs="宋体"/>
          <w:b/>
          <w:bCs/>
          <w:color w:val="000000" w:themeColor="text1"/>
          <w:sz w:val="52"/>
          <w:szCs w:val="52"/>
          <w14:textFill>
            <w14:solidFill>
              <w14:schemeClr w14:val="tx1"/>
            </w14:solidFill>
          </w14:textFill>
        </w:rPr>
        <w:t>课程标准</w:t>
      </w:r>
    </w:p>
    <w:p w14:paraId="5CDB7556">
      <w:pPr>
        <w:spacing w:before="4680" w:beforeLines="1500"/>
        <w:ind w:left="840" w:leftChars="400" w:firstLine="900" w:firstLineChars="300"/>
        <w:rPr>
          <w:rFonts w:ascii="黑体" w:hAnsi="黑体" w:eastAsia="黑体" w:cs="黑体"/>
          <w:color w:val="000000" w:themeColor="text1"/>
          <w:sz w:val="30"/>
          <w:szCs w:val="30"/>
          <w:u w:val="single"/>
          <w14:textFill>
            <w14:solidFill>
              <w14:schemeClr w14:val="tx1"/>
            </w14:solidFill>
          </w14:textFill>
        </w:rPr>
      </w:pPr>
      <w:r>
        <w:rPr>
          <w:rFonts w:hint="eastAsia" w:ascii="黑体" w:hAnsi="黑体" w:eastAsia="黑体" w:cs="黑体"/>
          <w:color w:val="000000" w:themeColor="text1"/>
          <w:sz w:val="30"/>
          <w:szCs w:val="30"/>
          <w14:textFill>
            <w14:solidFill>
              <w14:schemeClr w14:val="tx1"/>
            </w14:solidFill>
          </w14:textFill>
        </w:rPr>
        <w:t>课程性质：</w:t>
      </w:r>
      <w:r>
        <w:rPr>
          <w:rFonts w:hint="eastAsia" w:ascii="黑体" w:hAnsi="黑体" w:eastAsia="黑体" w:cs="黑体"/>
          <w:color w:val="000000" w:themeColor="text1"/>
          <w:sz w:val="30"/>
          <w:szCs w:val="30"/>
          <w:u w:val="single"/>
          <w14:textFill>
            <w14:solidFill>
              <w14:schemeClr w14:val="tx1"/>
            </w14:solidFill>
          </w14:textFill>
        </w:rPr>
        <w:t xml:space="preserve"> 机电技术应用专业基础课 </w:t>
      </w:r>
      <w:r>
        <w:rPr>
          <w:rFonts w:ascii="黑体" w:hAnsi="黑体" w:eastAsia="黑体" w:cs="黑体"/>
          <w:color w:val="000000" w:themeColor="text1"/>
          <w:sz w:val="30"/>
          <w:szCs w:val="30"/>
          <w:u w:val="single"/>
          <w14:textFill>
            <w14:solidFill>
              <w14:schemeClr w14:val="tx1"/>
            </w14:solidFill>
          </w14:textFill>
        </w:rPr>
        <w:t xml:space="preserve"> </w:t>
      </w:r>
    </w:p>
    <w:p w14:paraId="6A315741">
      <w:pPr>
        <w:ind w:left="840" w:leftChars="400" w:firstLine="900" w:firstLineChars="300"/>
        <w:jc w:val="left"/>
        <w:rPr>
          <w:color w:val="000000" w:themeColor="text1"/>
          <w14:textFill>
            <w14:solidFill>
              <w14:schemeClr w14:val="tx1"/>
            </w14:solidFill>
          </w14:textFill>
        </w:rPr>
      </w:pPr>
      <w:r>
        <w:rPr>
          <w:rFonts w:hint="eastAsia" w:ascii="黑体" w:hAnsi="黑体" w:eastAsia="黑体" w:cs="黑体"/>
          <w:color w:val="000000" w:themeColor="text1"/>
          <w:sz w:val="30"/>
          <w:szCs w:val="30"/>
          <w14:textFill>
            <w14:solidFill>
              <w14:schemeClr w14:val="tx1"/>
            </w14:solidFill>
          </w14:textFill>
        </w:rPr>
        <w:t>授课对象：</w:t>
      </w:r>
      <w:r>
        <w:rPr>
          <w:rFonts w:hint="eastAsia" w:ascii="黑体" w:hAnsi="黑体" w:eastAsia="黑体" w:cs="黑体"/>
          <w:color w:val="000000" w:themeColor="text1"/>
          <w:sz w:val="30"/>
          <w:szCs w:val="30"/>
          <w:u w:val="single"/>
          <w14:textFill>
            <w14:solidFill>
              <w14:schemeClr w14:val="tx1"/>
            </w14:solidFill>
          </w14:textFill>
        </w:rPr>
        <w:t>机电技术应用专业</w:t>
      </w:r>
      <w:r>
        <w:rPr>
          <w:rFonts w:hint="eastAsia" w:ascii="黑体" w:hAnsi="黑体" w:eastAsia="黑体" w:cs="黑体"/>
          <w:color w:val="000000" w:themeColor="text1"/>
          <w:sz w:val="28"/>
          <w:szCs w:val="28"/>
          <w:u w:val="single"/>
          <w14:textFill>
            <w14:solidFill>
              <w14:schemeClr w14:val="tx1"/>
            </w14:solidFill>
          </w14:textFill>
        </w:rPr>
        <w:t>一年级学生</w:t>
      </w:r>
    </w:p>
    <w:p w14:paraId="01ED51DA">
      <w:pPr>
        <w:ind w:left="840" w:leftChars="400" w:firstLine="900" w:firstLineChars="300"/>
        <w:rPr>
          <w:rFonts w:ascii="黑体" w:hAnsi="黑体" w:eastAsia="黑体" w:cs="黑体"/>
          <w:color w:val="000000" w:themeColor="text1"/>
          <w:sz w:val="30"/>
          <w:szCs w:val="30"/>
          <w:u w:val="single"/>
          <w14:textFill>
            <w14:solidFill>
              <w14:schemeClr w14:val="tx1"/>
            </w14:solidFill>
          </w14:textFill>
        </w:rPr>
      </w:pPr>
      <w:bookmarkStart w:id="0" w:name="_Toc15366"/>
      <w:bookmarkStart w:id="1" w:name="_Toc4964"/>
      <w:bookmarkStart w:id="2" w:name="_Toc31554"/>
      <w:bookmarkStart w:id="3" w:name="_Toc798"/>
      <w:bookmarkStart w:id="4" w:name="_Toc14206"/>
      <w:bookmarkStart w:id="5" w:name="_Toc11884"/>
      <w:r>
        <w:rPr>
          <w:rFonts w:hint="eastAsia" w:ascii="黑体" w:hAnsi="黑体" w:eastAsia="黑体" w:cs="黑体"/>
          <w:color w:val="000000" w:themeColor="text1"/>
          <w:sz w:val="30"/>
          <w:szCs w:val="30"/>
          <w14:textFill>
            <w14:solidFill>
              <w14:schemeClr w14:val="tx1"/>
            </w14:solidFill>
          </w14:textFill>
        </w:rPr>
        <w:t>课程总学时：</w:t>
      </w:r>
      <w:r>
        <w:rPr>
          <w:rFonts w:hint="eastAsia" w:ascii="黑体" w:hAnsi="黑体" w:eastAsia="黑体" w:cs="黑体"/>
          <w:color w:val="000000" w:themeColor="text1"/>
          <w:sz w:val="30"/>
          <w:szCs w:val="30"/>
          <w:u w:val="single"/>
          <w14:textFill>
            <w14:solidFill>
              <w14:schemeClr w14:val="tx1"/>
            </w14:solidFill>
          </w14:textFill>
        </w:rPr>
        <w:t xml:space="preserve"> </w:t>
      </w:r>
      <w:r>
        <w:rPr>
          <w:rFonts w:ascii="黑体" w:hAnsi="黑体" w:eastAsia="黑体" w:cs="黑体"/>
          <w:color w:val="000000" w:themeColor="text1"/>
          <w:sz w:val="30"/>
          <w:szCs w:val="30"/>
          <w:u w:val="single"/>
          <w14:textFill>
            <w14:solidFill>
              <w14:schemeClr w14:val="tx1"/>
            </w14:solidFill>
          </w14:textFill>
        </w:rPr>
        <w:t xml:space="preserve">      </w:t>
      </w:r>
      <w:r>
        <w:rPr>
          <w:rFonts w:hint="eastAsia" w:ascii="黑体" w:hAnsi="黑体" w:eastAsia="黑体" w:cs="黑体"/>
          <w:color w:val="000000" w:themeColor="text1"/>
          <w:sz w:val="30"/>
          <w:szCs w:val="30"/>
          <w:u w:val="single"/>
          <w14:textFill>
            <w14:solidFill>
              <w14:schemeClr w14:val="tx1"/>
            </w14:solidFill>
          </w14:textFill>
        </w:rPr>
        <w:t>54学时</w:t>
      </w:r>
      <w:bookmarkEnd w:id="0"/>
      <w:bookmarkEnd w:id="1"/>
      <w:bookmarkEnd w:id="2"/>
      <w:bookmarkEnd w:id="3"/>
      <w:bookmarkEnd w:id="4"/>
      <w:bookmarkEnd w:id="5"/>
      <w:r>
        <w:rPr>
          <w:rFonts w:hint="eastAsia" w:ascii="黑体" w:hAnsi="黑体" w:eastAsia="黑体" w:cs="黑体"/>
          <w:color w:val="000000" w:themeColor="text1"/>
          <w:sz w:val="30"/>
          <w:szCs w:val="30"/>
          <w:u w:val="single"/>
          <w14:textFill>
            <w14:solidFill>
              <w14:schemeClr w14:val="tx1"/>
            </w14:solidFill>
          </w14:textFill>
        </w:rPr>
        <w:t xml:space="preserve"> </w:t>
      </w:r>
      <w:r>
        <w:rPr>
          <w:rFonts w:ascii="黑体" w:hAnsi="黑体" w:eastAsia="黑体" w:cs="黑体"/>
          <w:color w:val="000000" w:themeColor="text1"/>
          <w:sz w:val="30"/>
          <w:szCs w:val="30"/>
          <w:u w:val="single"/>
          <w14:textFill>
            <w14:solidFill>
              <w14:schemeClr w14:val="tx1"/>
            </w14:solidFill>
          </w14:textFill>
        </w:rPr>
        <w:t xml:space="preserve">         </w:t>
      </w:r>
    </w:p>
    <w:p w14:paraId="0869C7A1">
      <w:pPr>
        <w:rPr>
          <w:rFonts w:ascii="黑体" w:hAnsi="黑体" w:eastAsia="黑体" w:cs="黑体"/>
          <w:color w:val="000000" w:themeColor="text1"/>
          <w:sz w:val="30"/>
          <w:szCs w:val="30"/>
          <w:u w:val="single"/>
          <w14:textFill>
            <w14:solidFill>
              <w14:schemeClr w14:val="tx1"/>
            </w14:solidFill>
          </w14:textFill>
        </w:rPr>
      </w:pPr>
    </w:p>
    <w:p w14:paraId="5D1C1E24">
      <w:pPr>
        <w:rPr>
          <w:rFonts w:ascii="黑体" w:hAnsi="黑体" w:eastAsia="黑体" w:cs="黑体"/>
          <w:color w:val="75BD42" w:themeColor="accent4"/>
          <w:sz w:val="30"/>
          <w:szCs w:val="30"/>
          <w:u w:val="single"/>
          <w14:textFill>
            <w14:solidFill>
              <w14:schemeClr w14:val="accent4"/>
            </w14:solidFill>
          </w14:textFill>
        </w:rPr>
      </w:pPr>
    </w:p>
    <w:p w14:paraId="1ABD33D2">
      <w:pPr>
        <w:rPr>
          <w:rFonts w:ascii="黑体" w:hAnsi="黑体" w:eastAsia="黑体" w:cs="黑体"/>
          <w:color w:val="75BD42" w:themeColor="accent4"/>
          <w:sz w:val="30"/>
          <w:szCs w:val="30"/>
          <w:u w:val="single"/>
          <w14:textFill>
            <w14:solidFill>
              <w14:schemeClr w14:val="accent4"/>
            </w14:solidFill>
          </w14:textFill>
        </w:rPr>
      </w:pPr>
    </w:p>
    <w:p w14:paraId="6779C74B">
      <w:pPr>
        <w:rPr>
          <w:rFonts w:ascii="黑体" w:hAnsi="黑体" w:eastAsia="黑体" w:cs="黑体"/>
          <w:color w:val="75BD42" w:themeColor="accent4"/>
          <w:sz w:val="30"/>
          <w:szCs w:val="30"/>
          <w:u w:val="single"/>
          <w14:textFill>
            <w14:solidFill>
              <w14:schemeClr w14:val="accent4"/>
            </w14:solidFill>
          </w14:textFill>
        </w:rPr>
      </w:pPr>
    </w:p>
    <w:sdt>
      <w:sdtPr>
        <w:rPr>
          <w:rFonts w:ascii="宋体" w:hAnsi="宋体" w:eastAsia="宋体"/>
          <w:b/>
          <w:bCs/>
          <w:sz w:val="32"/>
          <w:szCs w:val="32"/>
        </w:rPr>
        <w:id w:val="147475104"/>
        <w:docPartObj>
          <w:docPartGallery w:val="Table of Contents"/>
          <w:docPartUnique/>
        </w:docPartObj>
      </w:sdtPr>
      <w:sdtEndPr>
        <w:rPr>
          <w:rFonts w:ascii="宋体" w:hAnsi="宋体" w:eastAsia="宋体"/>
          <w:b/>
          <w:bCs/>
          <w:sz w:val="32"/>
          <w:szCs w:val="32"/>
        </w:rPr>
      </w:sdtEndPr>
      <w:sdtContent>
        <w:p w14:paraId="45DF7771">
          <w:pPr>
            <w:jc w:val="center"/>
            <w:rPr>
              <w:b/>
              <w:bCs/>
              <w:sz w:val="32"/>
              <w:szCs w:val="32"/>
            </w:rPr>
          </w:pPr>
          <w:bookmarkStart w:id="20" w:name="_GoBack"/>
          <w:bookmarkEnd w:id="20"/>
          <w:r>
            <w:rPr>
              <w:rFonts w:ascii="宋体" w:hAnsi="宋体" w:eastAsia="宋体"/>
              <w:b/>
              <w:bCs/>
              <w:sz w:val="32"/>
              <w:szCs w:val="32"/>
            </w:rPr>
            <w:t>目</w:t>
          </w:r>
          <w:r>
            <w:rPr>
              <w:rFonts w:hint="eastAsia" w:ascii="宋体" w:hAnsi="宋体" w:eastAsia="宋体"/>
              <w:b/>
              <w:bCs/>
              <w:sz w:val="32"/>
              <w:szCs w:val="32"/>
            </w:rPr>
            <w:t xml:space="preserve">  </w:t>
          </w:r>
          <w:r>
            <w:rPr>
              <w:rFonts w:ascii="宋体" w:hAnsi="宋体" w:eastAsia="宋体"/>
              <w:b/>
              <w:bCs/>
              <w:sz w:val="32"/>
              <w:szCs w:val="32"/>
            </w:rPr>
            <w:t>录</w:t>
          </w:r>
        </w:p>
        <w:p w14:paraId="4D659D1A">
          <w:pPr>
            <w:pStyle w:val="8"/>
            <w:tabs>
              <w:tab w:val="right" w:leader="dot" w:pos="8296"/>
            </w:tabs>
            <w:rPr>
              <w:szCs w:val="22"/>
            </w:rPr>
          </w:pPr>
          <w:r>
            <w:rPr>
              <w:sz w:val="24"/>
            </w:rPr>
            <w:fldChar w:fldCharType="begin"/>
          </w:r>
          <w:r>
            <w:rPr>
              <w:sz w:val="24"/>
            </w:rPr>
            <w:instrText xml:space="preserve">TOC \o "1-2" \h \u </w:instrText>
          </w:r>
          <w:r>
            <w:rPr>
              <w:sz w:val="24"/>
            </w:rPr>
            <w:fldChar w:fldCharType="separate"/>
          </w:r>
          <w:r>
            <w:fldChar w:fldCharType="begin"/>
          </w:r>
          <w:r>
            <w:instrText xml:space="preserve"> HYPERLINK \l "_Toc171066593" </w:instrText>
          </w:r>
          <w:r>
            <w:fldChar w:fldCharType="separate"/>
          </w:r>
          <w:r>
            <w:rPr>
              <w:rStyle w:val="14"/>
              <w:rFonts w:hint="eastAsia" w:ascii="黑体" w:hAnsi="黑体" w:eastAsia="黑体" w:cs="黑体"/>
            </w:rPr>
            <w:t>一、 课程基本信息</w:t>
          </w:r>
          <w:r>
            <w:tab/>
          </w:r>
          <w:r>
            <w:fldChar w:fldCharType="begin"/>
          </w:r>
          <w:r>
            <w:instrText xml:space="preserve"> PAGEREF _Toc171066593 \h </w:instrText>
          </w:r>
          <w:r>
            <w:fldChar w:fldCharType="separate"/>
          </w:r>
          <w:r>
            <w:t>1</w:t>
          </w:r>
          <w:r>
            <w:fldChar w:fldCharType="end"/>
          </w:r>
          <w:r>
            <w:fldChar w:fldCharType="end"/>
          </w:r>
        </w:p>
        <w:p w14:paraId="4E48CCDB">
          <w:pPr>
            <w:pStyle w:val="8"/>
            <w:tabs>
              <w:tab w:val="right" w:leader="dot" w:pos="8296"/>
            </w:tabs>
            <w:rPr>
              <w:szCs w:val="22"/>
            </w:rPr>
          </w:pPr>
          <w:r>
            <w:fldChar w:fldCharType="begin"/>
          </w:r>
          <w:r>
            <w:instrText xml:space="preserve"> HYPERLINK \l "_Toc171066594" </w:instrText>
          </w:r>
          <w:r>
            <w:fldChar w:fldCharType="separate"/>
          </w:r>
          <w:r>
            <w:rPr>
              <w:rStyle w:val="14"/>
              <w:rFonts w:hint="eastAsia" w:ascii="黑体" w:hAnsi="黑体" w:eastAsia="黑体" w:cs="黑体"/>
            </w:rPr>
            <w:t>二、 课程性质与任务</w:t>
          </w:r>
          <w:r>
            <w:tab/>
          </w:r>
          <w:r>
            <w:fldChar w:fldCharType="begin"/>
          </w:r>
          <w:r>
            <w:instrText xml:space="preserve"> PAGEREF _Toc171066594 \h </w:instrText>
          </w:r>
          <w:r>
            <w:fldChar w:fldCharType="separate"/>
          </w:r>
          <w:r>
            <w:t>2</w:t>
          </w:r>
          <w:r>
            <w:fldChar w:fldCharType="end"/>
          </w:r>
          <w:r>
            <w:fldChar w:fldCharType="end"/>
          </w:r>
        </w:p>
        <w:p w14:paraId="59E7D0B0">
          <w:pPr>
            <w:pStyle w:val="8"/>
            <w:tabs>
              <w:tab w:val="right" w:leader="dot" w:pos="8296"/>
            </w:tabs>
            <w:rPr>
              <w:szCs w:val="22"/>
            </w:rPr>
          </w:pPr>
          <w:r>
            <w:fldChar w:fldCharType="begin"/>
          </w:r>
          <w:r>
            <w:instrText xml:space="preserve"> HYPERLINK \l "_Toc171066595" </w:instrText>
          </w:r>
          <w:r>
            <w:fldChar w:fldCharType="separate"/>
          </w:r>
          <w:r>
            <w:rPr>
              <w:rStyle w:val="14"/>
              <w:rFonts w:hint="eastAsia" w:ascii="黑体" w:hAnsi="黑体" w:eastAsia="黑体" w:cs="黑体"/>
            </w:rPr>
            <w:t>三、 课程目标与要求</w:t>
          </w:r>
          <w:r>
            <w:tab/>
          </w:r>
          <w:r>
            <w:fldChar w:fldCharType="begin"/>
          </w:r>
          <w:r>
            <w:instrText xml:space="preserve"> PAGEREF _Toc171066595 \h </w:instrText>
          </w:r>
          <w:r>
            <w:fldChar w:fldCharType="separate"/>
          </w:r>
          <w:r>
            <w:t>3</w:t>
          </w:r>
          <w:r>
            <w:fldChar w:fldCharType="end"/>
          </w:r>
          <w:r>
            <w:fldChar w:fldCharType="end"/>
          </w:r>
        </w:p>
        <w:p w14:paraId="2D3DD5B1">
          <w:pPr>
            <w:pStyle w:val="9"/>
            <w:tabs>
              <w:tab w:val="right" w:leader="dot" w:pos="8296"/>
            </w:tabs>
            <w:rPr>
              <w:szCs w:val="22"/>
            </w:rPr>
          </w:pPr>
          <w:r>
            <w:fldChar w:fldCharType="begin"/>
          </w:r>
          <w:r>
            <w:instrText xml:space="preserve"> HYPERLINK \l "_Toc171066596" </w:instrText>
          </w:r>
          <w:r>
            <w:fldChar w:fldCharType="separate"/>
          </w:r>
          <w:r>
            <w:rPr>
              <w:rStyle w:val="14"/>
              <w:rFonts w:hint="eastAsia" w:ascii="楷体" w:hAnsi="楷体" w:eastAsia="楷体" w:cs="楷体"/>
            </w:rPr>
            <w:t>（一） 总体目标</w:t>
          </w:r>
          <w:r>
            <w:tab/>
          </w:r>
          <w:r>
            <w:fldChar w:fldCharType="begin"/>
          </w:r>
          <w:r>
            <w:instrText xml:space="preserve"> PAGEREF _Toc171066596 \h </w:instrText>
          </w:r>
          <w:r>
            <w:fldChar w:fldCharType="separate"/>
          </w:r>
          <w:r>
            <w:t>3</w:t>
          </w:r>
          <w:r>
            <w:fldChar w:fldCharType="end"/>
          </w:r>
          <w:r>
            <w:fldChar w:fldCharType="end"/>
          </w:r>
        </w:p>
        <w:p w14:paraId="383BB467">
          <w:pPr>
            <w:pStyle w:val="9"/>
            <w:tabs>
              <w:tab w:val="right" w:leader="dot" w:pos="8296"/>
            </w:tabs>
            <w:rPr>
              <w:szCs w:val="22"/>
            </w:rPr>
          </w:pPr>
          <w:r>
            <w:fldChar w:fldCharType="begin"/>
          </w:r>
          <w:r>
            <w:instrText xml:space="preserve"> HYPERLINK \l "_Toc171066597" </w:instrText>
          </w:r>
          <w:r>
            <w:fldChar w:fldCharType="separate"/>
          </w:r>
          <w:r>
            <w:rPr>
              <w:rStyle w:val="14"/>
              <w:rFonts w:hint="eastAsia" w:ascii="楷体" w:hAnsi="楷体" w:eastAsia="楷体" w:cs="楷体"/>
            </w:rPr>
            <w:t>（二） 具体目标</w:t>
          </w:r>
          <w:r>
            <w:tab/>
          </w:r>
          <w:r>
            <w:fldChar w:fldCharType="begin"/>
          </w:r>
          <w:r>
            <w:instrText xml:space="preserve"> PAGEREF _Toc171066597 \h </w:instrText>
          </w:r>
          <w:r>
            <w:fldChar w:fldCharType="separate"/>
          </w:r>
          <w:r>
            <w:t>3</w:t>
          </w:r>
          <w:r>
            <w:fldChar w:fldCharType="end"/>
          </w:r>
          <w:r>
            <w:fldChar w:fldCharType="end"/>
          </w:r>
        </w:p>
        <w:p w14:paraId="6584A9BC">
          <w:pPr>
            <w:pStyle w:val="8"/>
            <w:tabs>
              <w:tab w:val="right" w:leader="dot" w:pos="8296"/>
            </w:tabs>
            <w:rPr>
              <w:szCs w:val="22"/>
            </w:rPr>
          </w:pPr>
          <w:r>
            <w:fldChar w:fldCharType="begin"/>
          </w:r>
          <w:r>
            <w:instrText xml:space="preserve"> HYPERLINK \l "_Toc171066598" </w:instrText>
          </w:r>
          <w:r>
            <w:fldChar w:fldCharType="separate"/>
          </w:r>
          <w:r>
            <w:rPr>
              <w:rStyle w:val="14"/>
              <w:rFonts w:hint="eastAsia" w:ascii="黑体" w:hAnsi="黑体" w:eastAsia="黑体" w:cs="黑体"/>
            </w:rPr>
            <w:t>四、 课程结构与内容</w:t>
          </w:r>
          <w:r>
            <w:tab/>
          </w:r>
          <w:r>
            <w:fldChar w:fldCharType="begin"/>
          </w:r>
          <w:r>
            <w:instrText xml:space="preserve"> PAGEREF _Toc171066598 \h </w:instrText>
          </w:r>
          <w:r>
            <w:fldChar w:fldCharType="separate"/>
          </w:r>
          <w:r>
            <w:t>6</w:t>
          </w:r>
          <w:r>
            <w:fldChar w:fldCharType="end"/>
          </w:r>
          <w:r>
            <w:fldChar w:fldCharType="end"/>
          </w:r>
        </w:p>
        <w:p w14:paraId="2D7074BA">
          <w:pPr>
            <w:pStyle w:val="9"/>
            <w:tabs>
              <w:tab w:val="right" w:leader="dot" w:pos="8296"/>
            </w:tabs>
            <w:rPr>
              <w:szCs w:val="22"/>
            </w:rPr>
          </w:pPr>
          <w:r>
            <w:fldChar w:fldCharType="begin"/>
          </w:r>
          <w:r>
            <w:instrText xml:space="preserve"> HYPERLINK \l "_Toc171066599" </w:instrText>
          </w:r>
          <w:r>
            <w:fldChar w:fldCharType="separate"/>
          </w:r>
          <w:r>
            <w:rPr>
              <w:rStyle w:val="14"/>
              <w:rFonts w:hint="eastAsia" w:ascii="楷体" w:hAnsi="楷体" w:eastAsia="楷体" w:cs="楷体"/>
            </w:rPr>
            <w:t>（一） 课程结构</w:t>
          </w:r>
          <w:r>
            <w:tab/>
          </w:r>
          <w:r>
            <w:fldChar w:fldCharType="begin"/>
          </w:r>
          <w:r>
            <w:instrText xml:space="preserve"> PAGEREF _Toc171066599 \h </w:instrText>
          </w:r>
          <w:r>
            <w:fldChar w:fldCharType="separate"/>
          </w:r>
          <w:r>
            <w:t>6</w:t>
          </w:r>
          <w:r>
            <w:fldChar w:fldCharType="end"/>
          </w:r>
          <w:r>
            <w:fldChar w:fldCharType="end"/>
          </w:r>
        </w:p>
        <w:p w14:paraId="4E3ADED5">
          <w:pPr>
            <w:pStyle w:val="8"/>
            <w:tabs>
              <w:tab w:val="right" w:leader="dot" w:pos="8296"/>
            </w:tabs>
            <w:rPr>
              <w:szCs w:val="22"/>
            </w:rPr>
          </w:pPr>
          <w:r>
            <w:fldChar w:fldCharType="begin"/>
          </w:r>
          <w:r>
            <w:instrText xml:space="preserve"> HYPERLINK \l "_Toc171066600" </w:instrText>
          </w:r>
          <w:r>
            <w:fldChar w:fldCharType="separate"/>
          </w:r>
          <w:r>
            <w:rPr>
              <w:rStyle w:val="14"/>
              <w:rFonts w:hint="eastAsia" w:ascii="黑体" w:hAnsi="黑体" w:eastAsia="黑体" w:cs="黑体"/>
            </w:rPr>
            <w:t>五、 学生考核与评价</w:t>
          </w:r>
          <w:r>
            <w:tab/>
          </w:r>
          <w:r>
            <w:fldChar w:fldCharType="begin"/>
          </w:r>
          <w:r>
            <w:instrText xml:space="preserve"> PAGEREF _Toc171066600 \h </w:instrText>
          </w:r>
          <w:r>
            <w:fldChar w:fldCharType="separate"/>
          </w:r>
          <w:r>
            <w:t>16</w:t>
          </w:r>
          <w:r>
            <w:fldChar w:fldCharType="end"/>
          </w:r>
          <w:r>
            <w:fldChar w:fldCharType="end"/>
          </w:r>
        </w:p>
        <w:p w14:paraId="4383745C">
          <w:pPr>
            <w:pStyle w:val="8"/>
            <w:tabs>
              <w:tab w:val="right" w:leader="dot" w:pos="8296"/>
            </w:tabs>
            <w:rPr>
              <w:szCs w:val="22"/>
            </w:rPr>
          </w:pPr>
          <w:r>
            <w:fldChar w:fldCharType="begin"/>
          </w:r>
          <w:r>
            <w:instrText xml:space="preserve"> HYPERLINK \l "_Toc171066601" </w:instrText>
          </w:r>
          <w:r>
            <w:fldChar w:fldCharType="separate"/>
          </w:r>
          <w:r>
            <w:rPr>
              <w:rStyle w:val="14"/>
              <w:rFonts w:hint="eastAsia" w:ascii="黑体" w:hAnsi="黑体" w:eastAsia="黑体" w:cs="黑体"/>
            </w:rPr>
            <w:t>六、教学实施与保障</w:t>
          </w:r>
          <w:r>
            <w:tab/>
          </w:r>
          <w:r>
            <w:fldChar w:fldCharType="begin"/>
          </w:r>
          <w:r>
            <w:instrText xml:space="preserve"> PAGEREF _Toc171066601 \h </w:instrText>
          </w:r>
          <w:r>
            <w:fldChar w:fldCharType="separate"/>
          </w:r>
          <w:r>
            <w:t>17</w:t>
          </w:r>
          <w:r>
            <w:fldChar w:fldCharType="end"/>
          </w:r>
          <w:r>
            <w:fldChar w:fldCharType="end"/>
          </w:r>
        </w:p>
        <w:p w14:paraId="2513C53D">
          <w:pPr>
            <w:pStyle w:val="9"/>
            <w:tabs>
              <w:tab w:val="right" w:leader="dot" w:pos="8296"/>
            </w:tabs>
            <w:rPr>
              <w:szCs w:val="22"/>
            </w:rPr>
          </w:pPr>
          <w:r>
            <w:fldChar w:fldCharType="begin"/>
          </w:r>
          <w:r>
            <w:instrText xml:space="preserve"> HYPERLINK \l "_Toc171066602" </w:instrText>
          </w:r>
          <w:r>
            <w:fldChar w:fldCharType="separate"/>
          </w:r>
          <w:r>
            <w:rPr>
              <w:rStyle w:val="14"/>
              <w:rFonts w:hint="eastAsia" w:ascii="楷体" w:hAnsi="楷体" w:eastAsia="楷体" w:cs="楷体"/>
            </w:rPr>
            <w:t>（一） 教材选用和编写建议</w:t>
          </w:r>
          <w:r>
            <w:tab/>
          </w:r>
          <w:r>
            <w:fldChar w:fldCharType="begin"/>
          </w:r>
          <w:r>
            <w:instrText xml:space="preserve"> PAGEREF _Toc171066602 \h </w:instrText>
          </w:r>
          <w:r>
            <w:fldChar w:fldCharType="separate"/>
          </w:r>
          <w:r>
            <w:t>17</w:t>
          </w:r>
          <w:r>
            <w:fldChar w:fldCharType="end"/>
          </w:r>
          <w:r>
            <w:fldChar w:fldCharType="end"/>
          </w:r>
        </w:p>
        <w:p w14:paraId="02828A82">
          <w:pPr>
            <w:pStyle w:val="9"/>
            <w:tabs>
              <w:tab w:val="right" w:leader="dot" w:pos="8296"/>
            </w:tabs>
            <w:rPr>
              <w:szCs w:val="22"/>
            </w:rPr>
          </w:pPr>
          <w:r>
            <w:fldChar w:fldCharType="begin"/>
          </w:r>
          <w:r>
            <w:instrText xml:space="preserve"> HYPERLINK \l "_Toc171066603" </w:instrText>
          </w:r>
          <w:r>
            <w:fldChar w:fldCharType="separate"/>
          </w:r>
          <w:r>
            <w:rPr>
              <w:rStyle w:val="14"/>
              <w:rFonts w:hint="eastAsia" w:ascii="楷体" w:hAnsi="楷体" w:eastAsia="楷体" w:cs="楷体"/>
            </w:rPr>
            <w:t>（二） 课程资源的开发与利用</w:t>
          </w:r>
          <w:r>
            <w:tab/>
          </w:r>
          <w:r>
            <w:fldChar w:fldCharType="begin"/>
          </w:r>
          <w:r>
            <w:instrText xml:space="preserve"> PAGEREF _Toc171066603 \h </w:instrText>
          </w:r>
          <w:r>
            <w:fldChar w:fldCharType="separate"/>
          </w:r>
          <w:r>
            <w:t>17</w:t>
          </w:r>
          <w:r>
            <w:fldChar w:fldCharType="end"/>
          </w:r>
          <w:r>
            <w:fldChar w:fldCharType="end"/>
          </w:r>
        </w:p>
        <w:p w14:paraId="65084C6E">
          <w:pPr>
            <w:pStyle w:val="9"/>
            <w:tabs>
              <w:tab w:val="right" w:leader="dot" w:pos="8296"/>
            </w:tabs>
            <w:rPr>
              <w:szCs w:val="22"/>
            </w:rPr>
          </w:pPr>
          <w:r>
            <w:fldChar w:fldCharType="begin"/>
          </w:r>
          <w:r>
            <w:instrText xml:space="preserve"> HYPERLINK \l "_Toc171066604" </w:instrText>
          </w:r>
          <w:r>
            <w:fldChar w:fldCharType="separate"/>
          </w:r>
          <w:r>
            <w:rPr>
              <w:rStyle w:val="14"/>
              <w:rFonts w:hint="eastAsia" w:ascii="楷体" w:hAnsi="楷体" w:eastAsia="楷体" w:cs="楷体"/>
            </w:rPr>
            <w:t>（三） 教学基本条件</w:t>
          </w:r>
          <w:r>
            <w:tab/>
          </w:r>
          <w:r>
            <w:fldChar w:fldCharType="begin"/>
          </w:r>
          <w:r>
            <w:instrText xml:space="preserve"> PAGEREF _Toc171066604 \h </w:instrText>
          </w:r>
          <w:r>
            <w:fldChar w:fldCharType="separate"/>
          </w:r>
          <w:r>
            <w:t>17</w:t>
          </w:r>
          <w:r>
            <w:fldChar w:fldCharType="end"/>
          </w:r>
          <w:r>
            <w:fldChar w:fldCharType="end"/>
          </w:r>
        </w:p>
        <w:p w14:paraId="0A690271">
          <w:pPr>
            <w:pStyle w:val="9"/>
            <w:tabs>
              <w:tab w:val="right" w:leader="dot" w:pos="8296"/>
            </w:tabs>
            <w:rPr>
              <w:szCs w:val="22"/>
            </w:rPr>
          </w:pPr>
          <w:r>
            <w:fldChar w:fldCharType="begin"/>
          </w:r>
          <w:r>
            <w:instrText xml:space="preserve"> HYPERLINK \l "_Toc171066605" </w:instrText>
          </w:r>
          <w:r>
            <w:fldChar w:fldCharType="separate"/>
          </w:r>
          <w:r>
            <w:rPr>
              <w:rStyle w:val="14"/>
              <w:rFonts w:hint="eastAsia" w:ascii="楷体" w:hAnsi="楷体" w:eastAsia="楷体" w:cs="楷体"/>
            </w:rPr>
            <w:t>（四） 教学建议</w:t>
          </w:r>
          <w:r>
            <w:tab/>
          </w:r>
          <w:r>
            <w:fldChar w:fldCharType="begin"/>
          </w:r>
          <w:r>
            <w:instrText xml:space="preserve"> PAGEREF _Toc171066605 \h </w:instrText>
          </w:r>
          <w:r>
            <w:fldChar w:fldCharType="separate"/>
          </w:r>
          <w:r>
            <w:t>18</w:t>
          </w:r>
          <w:r>
            <w:fldChar w:fldCharType="end"/>
          </w:r>
          <w:r>
            <w:fldChar w:fldCharType="end"/>
          </w:r>
        </w:p>
        <w:p w14:paraId="798F516F">
          <w:pPr>
            <w:pStyle w:val="8"/>
            <w:tabs>
              <w:tab w:val="right" w:leader="dot" w:pos="8296"/>
            </w:tabs>
            <w:rPr>
              <w:szCs w:val="22"/>
            </w:rPr>
          </w:pPr>
          <w:r>
            <w:fldChar w:fldCharType="begin"/>
          </w:r>
          <w:r>
            <w:instrText xml:space="preserve"> HYPERLINK \l "_Toc171066606" </w:instrText>
          </w:r>
          <w:r>
            <w:fldChar w:fldCharType="separate"/>
          </w:r>
          <w:r>
            <w:rPr>
              <w:rStyle w:val="14"/>
              <w:rFonts w:hint="eastAsia" w:ascii="黑体" w:hAnsi="黑体" w:eastAsia="黑体" w:cs="黑体"/>
            </w:rPr>
            <w:t>七、授课进度与安排</w:t>
          </w:r>
          <w:r>
            <w:tab/>
          </w:r>
          <w:r>
            <w:fldChar w:fldCharType="begin"/>
          </w:r>
          <w:r>
            <w:instrText xml:space="preserve"> PAGEREF _Toc171066606 \h </w:instrText>
          </w:r>
          <w:r>
            <w:fldChar w:fldCharType="separate"/>
          </w:r>
          <w:r>
            <w:t>19</w:t>
          </w:r>
          <w:r>
            <w:fldChar w:fldCharType="end"/>
          </w:r>
          <w:r>
            <w:fldChar w:fldCharType="end"/>
          </w:r>
        </w:p>
        <w:p w14:paraId="06888804">
          <w:pPr>
            <w:widowControl/>
            <w:spacing w:before="156" w:beforeLines="50" w:after="156" w:afterLines="50"/>
          </w:pPr>
          <w:r>
            <w:rPr>
              <w:b/>
              <w:sz w:val="24"/>
            </w:rPr>
            <w:fldChar w:fldCharType="end"/>
          </w:r>
        </w:p>
      </w:sdtContent>
    </w:sdt>
    <w:p w14:paraId="6FC49723">
      <w:pPr>
        <w:widowControl/>
        <w:jc w:val="left"/>
        <w:rPr>
          <w:rFonts w:ascii="黑体" w:hAnsi="黑体" w:eastAsia="黑体" w:cs="黑体"/>
          <w:sz w:val="30"/>
          <w:szCs w:val="30"/>
        </w:rPr>
        <w:sectPr>
          <w:footerReference r:id="rId4" w:type="first"/>
          <w:footerReference r:id="rId3" w:type="default"/>
          <w:pgSz w:w="11906" w:h="16838"/>
          <w:pgMar w:top="1440" w:right="1800" w:bottom="1440" w:left="1800" w:header="851" w:footer="992" w:gutter="0"/>
          <w:pgNumType w:start="1"/>
          <w:cols w:space="425" w:num="1"/>
          <w:docGrid w:type="lines" w:linePitch="312" w:charSpace="0"/>
        </w:sectPr>
      </w:pPr>
      <w:r>
        <w:rPr>
          <w:rFonts w:hint="eastAsia" w:ascii="黑体" w:hAnsi="黑体" w:eastAsia="黑体" w:cs="黑体"/>
          <w:sz w:val="30"/>
          <w:szCs w:val="30"/>
        </w:rPr>
        <w:br w:type="page"/>
      </w:r>
    </w:p>
    <w:p w14:paraId="5040A51A">
      <w:pPr>
        <w:numPr>
          <w:ilvl w:val="0"/>
          <w:numId w:val="2"/>
        </w:numPr>
        <w:outlineLvl w:val="0"/>
        <w:rPr>
          <w:rFonts w:ascii="黑体" w:hAnsi="黑体" w:eastAsia="黑体" w:cs="黑体"/>
          <w:sz w:val="28"/>
          <w:szCs w:val="28"/>
        </w:rPr>
      </w:pPr>
      <w:bookmarkStart w:id="6" w:name="_Toc171066593"/>
      <w:r>
        <w:rPr>
          <w:rFonts w:hint="eastAsia" w:ascii="黑体" w:hAnsi="黑体" w:eastAsia="黑体" w:cs="黑体"/>
          <w:sz w:val="28"/>
          <w:szCs w:val="28"/>
        </w:rPr>
        <w:t>课程基本信息</w:t>
      </w:r>
      <w:bookmarkEnd w:id="6"/>
    </w:p>
    <w:p w14:paraId="5B0AC4E3">
      <w:pPr>
        <w:pStyle w:val="3"/>
        <w:jc w:val="center"/>
        <w:rPr>
          <w:rFonts w:ascii="仿宋" w:hAnsi="仿宋" w:eastAsia="仿宋" w:cs="仿宋"/>
          <w:b/>
          <w:bCs/>
          <w:sz w:val="21"/>
          <w:szCs w:val="28"/>
        </w:rPr>
      </w:pPr>
      <w:r>
        <w:rPr>
          <w:rFonts w:hint="eastAsia" w:ascii="仿宋" w:hAnsi="仿宋" w:eastAsia="仿宋" w:cs="仿宋"/>
          <w:b/>
          <w:bCs/>
          <w:sz w:val="21"/>
          <w:szCs w:val="28"/>
        </w:rPr>
        <w:t xml:space="preserve">表 </w:t>
      </w:r>
      <w:r>
        <w:rPr>
          <w:rFonts w:hint="eastAsia" w:ascii="仿宋" w:hAnsi="仿宋" w:eastAsia="仿宋" w:cs="仿宋"/>
          <w:b/>
          <w:bCs/>
          <w:sz w:val="21"/>
          <w:szCs w:val="28"/>
        </w:rPr>
        <w:fldChar w:fldCharType="begin"/>
      </w:r>
      <w:r>
        <w:rPr>
          <w:rFonts w:hint="eastAsia" w:ascii="仿宋" w:hAnsi="仿宋" w:eastAsia="仿宋" w:cs="仿宋"/>
          <w:b/>
          <w:bCs/>
          <w:sz w:val="21"/>
          <w:szCs w:val="28"/>
        </w:rPr>
        <w:instrText xml:space="preserve"> SEQ 表 \* ARABIC </w:instrText>
      </w:r>
      <w:r>
        <w:rPr>
          <w:rFonts w:hint="eastAsia" w:ascii="仿宋" w:hAnsi="仿宋" w:eastAsia="仿宋" w:cs="仿宋"/>
          <w:b/>
          <w:bCs/>
          <w:sz w:val="21"/>
          <w:szCs w:val="28"/>
        </w:rPr>
        <w:fldChar w:fldCharType="separate"/>
      </w:r>
      <w:r>
        <w:rPr>
          <w:rFonts w:hint="eastAsia" w:ascii="仿宋" w:hAnsi="仿宋" w:eastAsia="仿宋" w:cs="仿宋"/>
          <w:b/>
          <w:bCs/>
          <w:sz w:val="21"/>
          <w:szCs w:val="28"/>
        </w:rPr>
        <w:t>1</w:t>
      </w:r>
      <w:r>
        <w:rPr>
          <w:rFonts w:hint="eastAsia" w:ascii="仿宋" w:hAnsi="仿宋" w:eastAsia="仿宋" w:cs="仿宋"/>
          <w:b/>
          <w:bCs/>
          <w:sz w:val="21"/>
          <w:szCs w:val="28"/>
        </w:rPr>
        <w:fldChar w:fldCharType="end"/>
      </w:r>
      <w:r>
        <w:rPr>
          <w:rFonts w:hint="eastAsia" w:ascii="仿宋" w:hAnsi="仿宋" w:eastAsia="仿宋" w:cs="仿宋"/>
          <w:b/>
          <w:bCs/>
          <w:sz w:val="21"/>
          <w:szCs w:val="28"/>
        </w:rPr>
        <w:t xml:space="preserve"> 课程基本信息一览表</w:t>
      </w:r>
    </w:p>
    <w:tbl>
      <w:tblPr>
        <w:tblStyle w:val="12"/>
        <w:tblW w:w="85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6"/>
        <w:gridCol w:w="590"/>
        <w:gridCol w:w="1970"/>
        <w:gridCol w:w="1640"/>
        <w:gridCol w:w="2750"/>
      </w:tblGrid>
      <w:tr w14:paraId="202EA3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6" w:type="dxa"/>
            <w:vAlign w:val="center"/>
          </w:tcPr>
          <w:p w14:paraId="47302EA0">
            <w:pPr>
              <w:spacing w:line="560" w:lineRule="exact"/>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课程代码</w:t>
            </w:r>
          </w:p>
        </w:tc>
        <w:tc>
          <w:tcPr>
            <w:tcW w:w="2560" w:type="dxa"/>
            <w:gridSpan w:val="2"/>
            <w:vAlign w:val="center"/>
          </w:tcPr>
          <w:p w14:paraId="1E799B20">
            <w:pPr>
              <w:spacing w:line="560" w:lineRule="exact"/>
              <w:jc w:val="center"/>
              <w:rPr>
                <w:rFonts w:ascii="仿宋" w:hAnsi="仿宋" w:eastAsia="仿宋" w:cs="仿宋"/>
                <w:b/>
                <w:bCs/>
                <w:color w:val="000000" w:themeColor="text1"/>
                <w:szCs w:val="21"/>
                <w14:textFill>
                  <w14:solidFill>
                    <w14:schemeClr w14:val="tx1"/>
                  </w14:solidFill>
                </w14:textFill>
              </w:rPr>
            </w:pPr>
          </w:p>
        </w:tc>
        <w:tc>
          <w:tcPr>
            <w:tcW w:w="1640" w:type="dxa"/>
            <w:vAlign w:val="center"/>
          </w:tcPr>
          <w:p w14:paraId="3A40DCCA">
            <w:pPr>
              <w:spacing w:line="560" w:lineRule="exact"/>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开课系部</w:t>
            </w:r>
          </w:p>
        </w:tc>
        <w:tc>
          <w:tcPr>
            <w:tcW w:w="2750" w:type="dxa"/>
            <w:vAlign w:val="center"/>
          </w:tcPr>
          <w:p w14:paraId="6562F3C4">
            <w:pPr>
              <w:spacing w:line="560" w:lineRule="exact"/>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汽车工程系</w:t>
            </w:r>
          </w:p>
        </w:tc>
      </w:tr>
      <w:tr w14:paraId="00AD1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6" w:type="dxa"/>
            <w:vAlign w:val="center"/>
          </w:tcPr>
          <w:p w14:paraId="3850F9DA">
            <w:pPr>
              <w:spacing w:line="560" w:lineRule="exact"/>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课程名称</w:t>
            </w:r>
          </w:p>
        </w:tc>
        <w:tc>
          <w:tcPr>
            <w:tcW w:w="6950" w:type="dxa"/>
            <w:gridSpan w:val="4"/>
            <w:vAlign w:val="center"/>
          </w:tcPr>
          <w:p w14:paraId="158DEC40">
            <w:pPr>
              <w:spacing w:line="560" w:lineRule="exact"/>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电工电子技术基础</w:t>
            </w:r>
          </w:p>
        </w:tc>
      </w:tr>
      <w:tr w14:paraId="32DC4E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6" w:type="dxa"/>
            <w:vAlign w:val="center"/>
          </w:tcPr>
          <w:p w14:paraId="0B016710">
            <w:pPr>
              <w:spacing w:line="560" w:lineRule="exact"/>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面向专业</w:t>
            </w:r>
          </w:p>
        </w:tc>
        <w:tc>
          <w:tcPr>
            <w:tcW w:w="6950" w:type="dxa"/>
            <w:gridSpan w:val="4"/>
            <w:vAlign w:val="center"/>
          </w:tcPr>
          <w:p w14:paraId="4FDB8078">
            <w:pPr>
              <w:spacing w:line="560" w:lineRule="exact"/>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机电技术应用专业</w:t>
            </w:r>
          </w:p>
        </w:tc>
      </w:tr>
      <w:tr w14:paraId="6DB05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6" w:type="dxa"/>
            <w:vAlign w:val="center"/>
          </w:tcPr>
          <w:p w14:paraId="48C230BD">
            <w:pPr>
              <w:spacing w:line="560" w:lineRule="exact"/>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学分</w:t>
            </w:r>
          </w:p>
        </w:tc>
        <w:tc>
          <w:tcPr>
            <w:tcW w:w="2560" w:type="dxa"/>
            <w:gridSpan w:val="2"/>
            <w:vAlign w:val="center"/>
          </w:tcPr>
          <w:p w14:paraId="5CD494DB">
            <w:pPr>
              <w:spacing w:line="560" w:lineRule="exact"/>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3</w:t>
            </w:r>
          </w:p>
        </w:tc>
        <w:tc>
          <w:tcPr>
            <w:tcW w:w="1640" w:type="dxa"/>
            <w:vAlign w:val="center"/>
          </w:tcPr>
          <w:p w14:paraId="625F795C">
            <w:pPr>
              <w:spacing w:line="560" w:lineRule="exact"/>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总学时</w:t>
            </w:r>
          </w:p>
        </w:tc>
        <w:tc>
          <w:tcPr>
            <w:tcW w:w="2750" w:type="dxa"/>
            <w:vAlign w:val="center"/>
          </w:tcPr>
          <w:p w14:paraId="03BFBC88">
            <w:pPr>
              <w:spacing w:line="560" w:lineRule="exact"/>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54</w:t>
            </w:r>
          </w:p>
        </w:tc>
      </w:tr>
      <w:tr w14:paraId="6A95F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6" w:type="dxa"/>
            <w:vAlign w:val="center"/>
          </w:tcPr>
          <w:p w14:paraId="20C9C390">
            <w:pPr>
              <w:spacing w:line="560" w:lineRule="exact"/>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理论学时</w:t>
            </w:r>
          </w:p>
        </w:tc>
        <w:tc>
          <w:tcPr>
            <w:tcW w:w="2560" w:type="dxa"/>
            <w:gridSpan w:val="2"/>
            <w:vAlign w:val="center"/>
          </w:tcPr>
          <w:p w14:paraId="77602F1F">
            <w:pPr>
              <w:spacing w:line="560" w:lineRule="exact"/>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18</w:t>
            </w:r>
          </w:p>
        </w:tc>
        <w:tc>
          <w:tcPr>
            <w:tcW w:w="1640" w:type="dxa"/>
            <w:vAlign w:val="center"/>
          </w:tcPr>
          <w:p w14:paraId="3FFCA0DD">
            <w:pPr>
              <w:spacing w:line="560" w:lineRule="exact"/>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实践学时</w:t>
            </w:r>
          </w:p>
        </w:tc>
        <w:tc>
          <w:tcPr>
            <w:tcW w:w="2750" w:type="dxa"/>
            <w:vAlign w:val="center"/>
          </w:tcPr>
          <w:p w14:paraId="59B407A4">
            <w:pPr>
              <w:spacing w:line="560" w:lineRule="exact"/>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36</w:t>
            </w:r>
          </w:p>
        </w:tc>
      </w:tr>
      <w:tr w14:paraId="5655C7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556" w:type="dxa"/>
            <w:gridSpan w:val="5"/>
            <w:vAlign w:val="center"/>
          </w:tcPr>
          <w:p w14:paraId="15681E0E">
            <w:pPr>
              <w:widowControl/>
              <w:spacing w:line="560" w:lineRule="exact"/>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本课程与其它课程在知识、技能、素质素养等方面的衔接与融通关系</w:t>
            </w:r>
          </w:p>
        </w:tc>
      </w:tr>
      <w:tr w14:paraId="04CE4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6" w:type="dxa"/>
            <w:gridSpan w:val="2"/>
            <w:vAlign w:val="center"/>
          </w:tcPr>
          <w:p w14:paraId="33D7CBA5">
            <w:pPr>
              <w:widowControl/>
              <w:spacing w:line="560" w:lineRule="exact"/>
              <w:jc w:val="center"/>
              <w:rPr>
                <w:rFonts w:ascii="仿宋" w:hAnsi="仿宋" w:eastAsia="仿宋" w:cs="仿宋"/>
                <w:b/>
                <w:bCs/>
                <w:color w:val="000000" w:themeColor="text1"/>
                <w:kern w:val="0"/>
                <w:szCs w:val="21"/>
                <w:lang w:bidi="ar"/>
                <w14:textFill>
                  <w14:solidFill>
                    <w14:schemeClr w14:val="tx1"/>
                  </w14:solidFill>
                </w14:textFill>
              </w:rPr>
            </w:pPr>
            <w:r>
              <w:rPr>
                <w:rFonts w:hint="eastAsia" w:ascii="仿宋" w:hAnsi="仿宋" w:eastAsia="仿宋" w:cs="仿宋"/>
                <w:b/>
                <w:bCs/>
                <w:color w:val="000000" w:themeColor="text1"/>
                <w:kern w:val="0"/>
                <w:szCs w:val="21"/>
                <w:lang w:bidi="ar"/>
                <w14:textFill>
                  <w14:solidFill>
                    <w14:schemeClr w14:val="tx1"/>
                  </w14:solidFill>
                </w14:textFill>
              </w:rPr>
              <w:t>编制人</w:t>
            </w:r>
          </w:p>
        </w:tc>
        <w:tc>
          <w:tcPr>
            <w:tcW w:w="6360" w:type="dxa"/>
            <w:gridSpan w:val="3"/>
            <w:vAlign w:val="center"/>
          </w:tcPr>
          <w:p w14:paraId="78AC4B36">
            <w:pPr>
              <w:widowControl/>
              <w:spacing w:line="560" w:lineRule="exact"/>
              <w:jc w:val="center"/>
              <w:rPr>
                <w:rFonts w:ascii="仿宋" w:hAnsi="仿宋" w:eastAsia="仿宋" w:cs="仿宋"/>
                <w:color w:val="000000" w:themeColor="text1"/>
                <w:kern w:val="0"/>
                <w:szCs w:val="21"/>
                <w:lang w:bidi="ar"/>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王惠云</w:t>
            </w:r>
          </w:p>
        </w:tc>
      </w:tr>
      <w:tr w14:paraId="4823C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6" w:type="dxa"/>
            <w:gridSpan w:val="2"/>
          </w:tcPr>
          <w:p w14:paraId="77AF6D05">
            <w:pPr>
              <w:widowControl/>
              <w:spacing w:line="560" w:lineRule="exact"/>
              <w:jc w:val="center"/>
              <w:rPr>
                <w:rFonts w:ascii="仿宋" w:hAnsi="仿宋" w:eastAsia="仿宋" w:cs="仿宋"/>
                <w:b/>
                <w:bCs/>
                <w:color w:val="000000" w:themeColor="text1"/>
                <w:kern w:val="0"/>
                <w:szCs w:val="21"/>
                <w:lang w:bidi="ar"/>
                <w14:textFill>
                  <w14:solidFill>
                    <w14:schemeClr w14:val="tx1"/>
                  </w14:solidFill>
                </w14:textFill>
              </w:rPr>
            </w:pPr>
            <w:r>
              <w:rPr>
                <w:rFonts w:hint="eastAsia" w:ascii="仿宋" w:hAnsi="仿宋" w:eastAsia="仿宋" w:cs="仿宋"/>
                <w:b/>
                <w:bCs/>
                <w:color w:val="000000" w:themeColor="text1"/>
                <w:kern w:val="0"/>
                <w:szCs w:val="21"/>
                <w:lang w:bidi="ar"/>
                <w14:textFill>
                  <w14:solidFill>
                    <w14:schemeClr w14:val="tx1"/>
                  </w14:solidFill>
                </w14:textFill>
              </w:rPr>
              <w:t>审定人</w:t>
            </w:r>
          </w:p>
        </w:tc>
        <w:tc>
          <w:tcPr>
            <w:tcW w:w="6360" w:type="dxa"/>
            <w:gridSpan w:val="3"/>
          </w:tcPr>
          <w:p w14:paraId="1FF654E6">
            <w:pPr>
              <w:widowControl/>
              <w:spacing w:line="560" w:lineRule="exact"/>
              <w:jc w:val="center"/>
              <w:rPr>
                <w:rFonts w:ascii="仿宋" w:hAnsi="仿宋" w:eastAsia="仿宋" w:cs="仿宋"/>
                <w:color w:val="000000" w:themeColor="text1"/>
                <w:kern w:val="0"/>
                <w:szCs w:val="21"/>
                <w:lang w:bidi="ar"/>
                <w14:textFill>
                  <w14:solidFill>
                    <w14:schemeClr w14:val="tx1"/>
                  </w14:solidFill>
                </w14:textFill>
              </w:rPr>
            </w:pPr>
          </w:p>
        </w:tc>
      </w:tr>
      <w:tr w14:paraId="04D5B9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6" w:type="dxa"/>
            <w:gridSpan w:val="2"/>
          </w:tcPr>
          <w:p w14:paraId="209362D1">
            <w:pPr>
              <w:widowControl/>
              <w:spacing w:line="560" w:lineRule="exact"/>
              <w:jc w:val="center"/>
              <w:rPr>
                <w:rFonts w:ascii="仿宋" w:hAnsi="仿宋" w:eastAsia="仿宋" w:cs="仿宋"/>
                <w:b/>
                <w:bCs/>
                <w:color w:val="000000" w:themeColor="text1"/>
                <w:kern w:val="0"/>
                <w:szCs w:val="21"/>
                <w:lang w:bidi="ar"/>
                <w14:textFill>
                  <w14:solidFill>
                    <w14:schemeClr w14:val="tx1"/>
                  </w14:solidFill>
                </w14:textFill>
              </w:rPr>
            </w:pPr>
            <w:r>
              <w:rPr>
                <w:rFonts w:hint="eastAsia" w:ascii="仿宋" w:hAnsi="仿宋" w:eastAsia="仿宋" w:cs="仿宋"/>
                <w:b/>
                <w:bCs/>
                <w:color w:val="000000" w:themeColor="text1"/>
                <w:kern w:val="0"/>
                <w:szCs w:val="21"/>
                <w:lang w:bidi="ar"/>
                <w14:textFill>
                  <w14:solidFill>
                    <w14:schemeClr w14:val="tx1"/>
                  </w14:solidFill>
                </w14:textFill>
              </w:rPr>
              <w:t>批准日期</w:t>
            </w:r>
          </w:p>
        </w:tc>
        <w:tc>
          <w:tcPr>
            <w:tcW w:w="6360" w:type="dxa"/>
            <w:gridSpan w:val="3"/>
          </w:tcPr>
          <w:p w14:paraId="5142A58B">
            <w:pPr>
              <w:widowControl/>
              <w:spacing w:line="560" w:lineRule="exact"/>
              <w:jc w:val="center"/>
              <w:rPr>
                <w:rFonts w:ascii="仿宋" w:hAnsi="仿宋" w:eastAsia="仿宋" w:cs="仿宋"/>
                <w:color w:val="000000" w:themeColor="text1"/>
                <w:kern w:val="0"/>
                <w:szCs w:val="21"/>
                <w:lang w:bidi="ar"/>
                <w14:textFill>
                  <w14:solidFill>
                    <w14:schemeClr w14:val="tx1"/>
                  </w14:solidFill>
                </w14:textFill>
              </w:rPr>
            </w:pPr>
          </w:p>
        </w:tc>
      </w:tr>
      <w:tr w14:paraId="2DBFDF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96" w:type="dxa"/>
            <w:gridSpan w:val="2"/>
          </w:tcPr>
          <w:p w14:paraId="1639AAC8">
            <w:pPr>
              <w:widowControl/>
              <w:spacing w:line="560" w:lineRule="exact"/>
              <w:jc w:val="center"/>
              <w:rPr>
                <w:rFonts w:ascii="仿宋" w:hAnsi="仿宋" w:eastAsia="仿宋" w:cs="仿宋"/>
                <w:b/>
                <w:bCs/>
                <w:color w:val="000000" w:themeColor="text1"/>
                <w:kern w:val="0"/>
                <w:szCs w:val="21"/>
                <w:lang w:bidi="ar"/>
                <w14:textFill>
                  <w14:solidFill>
                    <w14:schemeClr w14:val="tx1"/>
                  </w14:solidFill>
                </w14:textFill>
              </w:rPr>
            </w:pPr>
            <w:r>
              <w:rPr>
                <w:rFonts w:hint="eastAsia" w:ascii="仿宋" w:hAnsi="仿宋" w:eastAsia="仿宋" w:cs="仿宋"/>
                <w:b/>
                <w:bCs/>
                <w:color w:val="000000" w:themeColor="text1"/>
                <w:kern w:val="0"/>
                <w:szCs w:val="21"/>
                <w:lang w:bidi="ar"/>
                <w14:textFill>
                  <w14:solidFill>
                    <w14:schemeClr w14:val="tx1"/>
                  </w14:solidFill>
                </w14:textFill>
              </w:rPr>
              <w:t>修订日期</w:t>
            </w:r>
          </w:p>
        </w:tc>
        <w:tc>
          <w:tcPr>
            <w:tcW w:w="6360" w:type="dxa"/>
            <w:gridSpan w:val="3"/>
          </w:tcPr>
          <w:p w14:paraId="3D59813D">
            <w:pPr>
              <w:widowControl/>
              <w:spacing w:line="560" w:lineRule="exact"/>
              <w:jc w:val="center"/>
              <w:rPr>
                <w:rFonts w:ascii="仿宋" w:hAnsi="仿宋" w:eastAsia="仿宋" w:cs="仿宋"/>
                <w:color w:val="000000" w:themeColor="text1"/>
                <w:kern w:val="0"/>
                <w:szCs w:val="21"/>
                <w:lang w:bidi="ar"/>
                <w14:textFill>
                  <w14:solidFill>
                    <w14:schemeClr w14:val="tx1"/>
                  </w14:solidFill>
                </w14:textFill>
              </w:rPr>
            </w:pPr>
          </w:p>
        </w:tc>
      </w:tr>
    </w:tbl>
    <w:p w14:paraId="01E54AD9">
      <w:pPr>
        <w:numPr>
          <w:ilvl w:val="0"/>
          <w:numId w:val="2"/>
        </w:numPr>
        <w:outlineLvl w:val="0"/>
        <w:rPr>
          <w:rFonts w:ascii="黑体" w:hAnsi="黑体" w:eastAsia="黑体" w:cs="黑体"/>
          <w:color w:val="000000" w:themeColor="text1"/>
          <w:sz w:val="28"/>
          <w:szCs w:val="28"/>
          <w14:textFill>
            <w14:solidFill>
              <w14:schemeClr w14:val="tx1"/>
            </w14:solidFill>
          </w14:textFill>
        </w:rPr>
        <w:sectPr>
          <w:pgSz w:w="11906" w:h="16838"/>
          <w:pgMar w:top="1440" w:right="1800" w:bottom="1440" w:left="1800" w:header="851" w:footer="992" w:gutter="0"/>
          <w:pgNumType w:start="1"/>
          <w:cols w:space="425" w:num="1"/>
          <w:titlePg/>
          <w:docGrid w:type="lines" w:linePitch="312" w:charSpace="0"/>
        </w:sectPr>
      </w:pPr>
    </w:p>
    <w:p w14:paraId="0E00D5F9">
      <w:pPr>
        <w:numPr>
          <w:ilvl w:val="0"/>
          <w:numId w:val="2"/>
        </w:numPr>
        <w:outlineLvl w:val="0"/>
        <w:rPr>
          <w:rFonts w:ascii="黑体" w:hAnsi="黑体" w:eastAsia="黑体" w:cs="黑体"/>
          <w:color w:val="000000" w:themeColor="text1"/>
          <w:sz w:val="28"/>
          <w:szCs w:val="28"/>
          <w14:textFill>
            <w14:solidFill>
              <w14:schemeClr w14:val="tx1"/>
            </w14:solidFill>
          </w14:textFill>
        </w:rPr>
      </w:pPr>
      <w:bookmarkStart w:id="7" w:name="_Toc171066594"/>
      <w:r>
        <w:rPr>
          <w:rFonts w:hint="eastAsia" w:ascii="黑体" w:hAnsi="黑体" w:eastAsia="黑体" w:cs="黑体"/>
          <w:color w:val="000000" w:themeColor="text1"/>
          <w:sz w:val="28"/>
          <w:szCs w:val="28"/>
          <w14:textFill>
            <w14:solidFill>
              <w14:schemeClr w14:val="tx1"/>
            </w14:solidFill>
          </w14:textFill>
        </w:rPr>
        <w:t>课程性质与任务</w:t>
      </w:r>
      <w:bookmarkEnd w:id="7"/>
    </w:p>
    <w:p w14:paraId="7FB24166">
      <w:pPr>
        <w:ind w:firstLine="560" w:firstLineChars="200"/>
        <w:rPr>
          <w:rFonts w:ascii="楷体" w:hAnsi="楷体" w:eastAsia="楷体" w:cs="黑体"/>
          <w:sz w:val="28"/>
          <w:szCs w:val="28"/>
        </w:rPr>
        <w:sectPr>
          <w:pgSz w:w="11906" w:h="16838"/>
          <w:pgMar w:top="1440" w:right="1800" w:bottom="1440" w:left="1800" w:header="851" w:footer="992" w:gutter="0"/>
          <w:cols w:space="425" w:num="1"/>
          <w:titlePg/>
          <w:docGrid w:type="lines" w:linePitch="312" w:charSpace="0"/>
        </w:sectPr>
      </w:pPr>
      <w:r>
        <w:rPr>
          <w:rFonts w:hint="eastAsia" w:ascii="楷体" w:hAnsi="楷体" w:eastAsia="楷体"/>
          <w:sz w:val="28"/>
          <w:szCs w:val="28"/>
        </w:rPr>
        <w:t>本课程是中等职业学校非电类相关专业的一门基础课程。其任务是：使学生掌握非电类相关专业必备的电工电子技术与技能，培养非电类相关专业学生解决涉及电工电子技术实际问题的能力，为学习后续专业技能课程打下基础；对学生进行职业意识培养和职业道德教育，提高学生的综合素质与职业能力，增强学生适应职业变化的能力，为学生职业生涯的发展奠定基础。</w:t>
      </w:r>
    </w:p>
    <w:p w14:paraId="2831655A">
      <w:pPr>
        <w:numPr>
          <w:ilvl w:val="0"/>
          <w:numId w:val="2"/>
        </w:numPr>
        <w:outlineLvl w:val="0"/>
        <w:rPr>
          <w:rFonts w:ascii="黑体" w:hAnsi="黑体" w:eastAsia="黑体" w:cs="黑体"/>
          <w:color w:val="000000" w:themeColor="text1"/>
          <w:sz w:val="28"/>
          <w:szCs w:val="28"/>
          <w14:textFill>
            <w14:solidFill>
              <w14:schemeClr w14:val="tx1"/>
            </w14:solidFill>
          </w14:textFill>
        </w:rPr>
      </w:pPr>
      <w:bookmarkStart w:id="8" w:name="_Toc171066595"/>
      <w:r>
        <w:rPr>
          <w:rFonts w:hint="eastAsia" w:ascii="黑体" w:hAnsi="黑体" w:eastAsia="黑体" w:cs="黑体"/>
          <w:color w:val="000000" w:themeColor="text1"/>
          <w:sz w:val="28"/>
          <w:szCs w:val="28"/>
          <w14:textFill>
            <w14:solidFill>
              <w14:schemeClr w14:val="tx1"/>
            </w14:solidFill>
          </w14:textFill>
        </w:rPr>
        <w:t>课程目标与要求</w:t>
      </w:r>
      <w:bookmarkEnd w:id="8"/>
    </w:p>
    <w:p w14:paraId="0A09E42C">
      <w:pPr>
        <w:numPr>
          <w:ilvl w:val="0"/>
          <w:numId w:val="3"/>
        </w:numPr>
        <w:outlineLvl w:val="1"/>
        <w:rPr>
          <w:rFonts w:ascii="楷体" w:hAnsi="楷体" w:eastAsia="楷体" w:cs="楷体"/>
          <w:color w:val="000000" w:themeColor="text1"/>
          <w:sz w:val="28"/>
          <w:szCs w:val="28"/>
          <w14:textFill>
            <w14:solidFill>
              <w14:schemeClr w14:val="tx1"/>
            </w14:solidFill>
          </w14:textFill>
        </w:rPr>
      </w:pPr>
      <w:bookmarkStart w:id="9" w:name="_Toc171066596"/>
      <w:r>
        <w:rPr>
          <w:rFonts w:hint="eastAsia" w:ascii="楷体" w:hAnsi="楷体" w:eastAsia="楷体" w:cs="楷体"/>
          <w:color w:val="000000" w:themeColor="text1"/>
          <w:sz w:val="28"/>
          <w:szCs w:val="28"/>
          <w14:textFill>
            <w14:solidFill>
              <w14:schemeClr w14:val="tx1"/>
            </w14:solidFill>
          </w14:textFill>
        </w:rPr>
        <w:t>总体目标</w:t>
      </w:r>
      <w:bookmarkEnd w:id="9"/>
    </w:p>
    <w:p w14:paraId="5870C352">
      <w:pPr>
        <w:spacing w:line="360" w:lineRule="auto"/>
        <w:ind w:firstLine="480" w:firstLineChars="20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使学生会观察、分析与解释电的基本现象，具备安全用电和规范操作常识；了解电路的基本概念、基本定律和定理；熟悉常用电气设备和元器件、电路的构成和工作原理及在实际生产中的典型应用；会使用电工电子仪器仪表和工具；能初步识读简单电路原理图和设备安装接线图，并能对电路进行调试、对简单故障进行排除和维修；初步具备查阅电工电子手册和技术资料的能力，能合理选用元器件。</w:t>
      </w:r>
    </w:p>
    <w:p w14:paraId="3883217C">
      <w:pPr>
        <w:spacing w:line="360" w:lineRule="auto"/>
        <w:ind w:firstLine="480" w:firstLineChars="20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结合生产生活实际，培养对电工电子技术的学习兴趣和爱好，养成自主学习与探究学习的良好习惯；通过参加电工电子实践活动，培养运用电工电子技术知识和工程应用方法解决生产生活中相关实际电工电子问题的能力；强化安全生产、节能环保和产品质量等职业意识，养成良好的工作方法、工作作风和职业道德。</w:t>
      </w:r>
      <w:r>
        <w:rPr>
          <w:rFonts w:hint="eastAsia" w:ascii="仿宋" w:hAnsi="仿宋" w:eastAsia="仿宋"/>
          <w:color w:val="000000" w:themeColor="text1"/>
          <w:sz w:val="24"/>
          <w14:textFill>
            <w14:solidFill>
              <w14:schemeClr w14:val="tx1"/>
            </w14:solidFill>
          </w14:textFill>
        </w:rPr>
        <w:t>为学生学习本专业知识和职业技能，全面提高素质，增强职业岗位能力和继续学习的能力打下一定的基础。</w:t>
      </w:r>
    </w:p>
    <w:p w14:paraId="19A8600D">
      <w:pPr>
        <w:numPr>
          <w:ilvl w:val="0"/>
          <w:numId w:val="3"/>
        </w:numPr>
        <w:outlineLvl w:val="1"/>
        <w:rPr>
          <w:rFonts w:ascii="楷体" w:hAnsi="楷体" w:eastAsia="楷体" w:cs="楷体"/>
          <w:color w:val="000000" w:themeColor="text1"/>
          <w:sz w:val="28"/>
          <w:szCs w:val="28"/>
          <w14:textFill>
            <w14:solidFill>
              <w14:schemeClr w14:val="tx1"/>
            </w14:solidFill>
          </w14:textFill>
        </w:rPr>
      </w:pPr>
      <w:bookmarkStart w:id="10" w:name="_Toc171066597"/>
      <w:r>
        <w:rPr>
          <w:rFonts w:hint="eastAsia" w:ascii="楷体" w:hAnsi="楷体" w:eastAsia="楷体" w:cs="楷体"/>
          <w:color w:val="000000" w:themeColor="text1"/>
          <w:sz w:val="28"/>
          <w:szCs w:val="28"/>
          <w14:textFill>
            <w14:solidFill>
              <w14:schemeClr w14:val="tx1"/>
            </w14:solidFill>
          </w14:textFill>
        </w:rPr>
        <w:t>具体目标</w:t>
      </w:r>
      <w:bookmarkEnd w:id="10"/>
    </w:p>
    <w:p w14:paraId="6B798991">
      <w:pPr>
        <w:spacing w:line="360" w:lineRule="auto"/>
        <w:ind w:firstLine="480" w:firstLineChars="20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1.素质目标</w:t>
      </w:r>
    </w:p>
    <w:p w14:paraId="718E1F03">
      <w:pPr>
        <w:pStyle w:val="19"/>
        <w:numPr>
          <w:ilvl w:val="0"/>
          <w:numId w:val="4"/>
        </w:numPr>
      </w:pPr>
      <w:r>
        <w:rPr>
          <w:rFonts w:hint="eastAsia"/>
        </w:rPr>
        <w:t>具有热爱科学、实事求是的作风；</w:t>
      </w:r>
    </w:p>
    <w:p w14:paraId="7448B0BF">
      <w:pPr>
        <w:pStyle w:val="19"/>
        <w:numPr>
          <w:ilvl w:val="0"/>
          <w:numId w:val="4"/>
        </w:numPr>
      </w:pPr>
      <w:r>
        <w:rPr>
          <w:rFonts w:hint="eastAsia"/>
        </w:rPr>
        <w:t>具有创新意识、创新精神；</w:t>
      </w:r>
    </w:p>
    <w:p w14:paraId="23B17691">
      <w:pPr>
        <w:pStyle w:val="19"/>
        <w:numPr>
          <w:ilvl w:val="0"/>
          <w:numId w:val="4"/>
        </w:numPr>
      </w:pPr>
      <w:r>
        <w:rPr>
          <w:rFonts w:hint="eastAsia"/>
        </w:rPr>
        <w:t>具有职业道德意识及诚信意识。</w:t>
      </w:r>
    </w:p>
    <w:p w14:paraId="02607908">
      <w:pPr>
        <w:spacing w:line="360" w:lineRule="auto"/>
        <w:ind w:firstLine="480" w:firstLineChars="20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2.知识目标</w:t>
      </w:r>
    </w:p>
    <w:p w14:paraId="2787F534">
      <w:pPr>
        <w:pStyle w:val="19"/>
        <w:rPr>
          <w:rFonts w:hint="eastAsia"/>
        </w:rPr>
      </w:pPr>
      <w:r>
        <w:rPr>
          <w:rFonts w:hint="eastAsia"/>
        </w:rPr>
        <w:t>掌握实训室操作规程及安全用电的规定</w:t>
      </w:r>
    </w:p>
    <w:p w14:paraId="25D69326">
      <w:pPr>
        <w:pStyle w:val="19"/>
        <w:rPr>
          <w:rFonts w:hint="eastAsia"/>
        </w:rPr>
      </w:pPr>
      <w:r>
        <w:rPr>
          <w:rFonts w:hint="eastAsia"/>
        </w:rPr>
        <w:t>掌握防止触电的保护措施</w:t>
      </w:r>
    </w:p>
    <w:p w14:paraId="33D7E8AE">
      <w:pPr>
        <w:pStyle w:val="19"/>
        <w:rPr>
          <w:rFonts w:hint="eastAsia"/>
        </w:rPr>
      </w:pPr>
      <w:r>
        <w:rPr>
          <w:rFonts w:hint="eastAsia"/>
        </w:rPr>
        <w:t>理解电路中电流、电压、电位、电动势、电能、电功率等常用物理量的概念；</w:t>
      </w:r>
    </w:p>
    <w:p w14:paraId="7D0626CF">
      <w:pPr>
        <w:pStyle w:val="19"/>
        <w:rPr>
          <w:rFonts w:hint="eastAsia"/>
        </w:rPr>
      </w:pPr>
      <w:r>
        <w:rPr>
          <w:rFonts w:hint="eastAsia"/>
        </w:rPr>
        <w:t>能对直流电路的常用物理量进行简单的分析与计算</w:t>
      </w:r>
    </w:p>
    <w:p w14:paraId="700BDDF7">
      <w:pPr>
        <w:pStyle w:val="19"/>
        <w:rPr>
          <w:rFonts w:hint="eastAsia"/>
        </w:rPr>
      </w:pPr>
      <w:r>
        <w:rPr>
          <w:rFonts w:hint="eastAsia"/>
        </w:rPr>
        <w:t xml:space="preserve">能区别线性电阻和非线性电阻 </w:t>
      </w:r>
    </w:p>
    <w:p w14:paraId="124F35DC">
      <w:pPr>
        <w:pStyle w:val="19"/>
        <w:rPr>
          <w:rFonts w:hint="eastAsia"/>
        </w:rPr>
      </w:pPr>
      <w:r>
        <w:rPr>
          <w:rFonts w:hint="eastAsia"/>
        </w:rPr>
        <w:t>理解欧姆定律的概念，能利用其对电路进行分析与计算</w:t>
      </w:r>
    </w:p>
    <w:p w14:paraId="03D1E668">
      <w:pPr>
        <w:pStyle w:val="19"/>
        <w:rPr>
          <w:rFonts w:hint="eastAsia"/>
        </w:rPr>
      </w:pPr>
      <w:r>
        <w:rPr>
          <w:rFonts w:hint="eastAsia"/>
        </w:rPr>
        <w:t>掌握电阻串联、并联及混联的连接方式及电路特点；</w:t>
      </w:r>
    </w:p>
    <w:p w14:paraId="2680E113">
      <w:pPr>
        <w:pStyle w:val="19"/>
        <w:rPr>
          <w:rFonts w:hint="eastAsia"/>
        </w:rPr>
      </w:pPr>
      <w:r>
        <w:rPr>
          <w:rFonts w:hint="eastAsia"/>
        </w:rPr>
        <w:t>会计算串联、并联及混联电路的等效电阻、电压、电流及电功率</w:t>
      </w:r>
    </w:p>
    <w:p w14:paraId="39475FB5">
      <w:pPr>
        <w:pStyle w:val="19"/>
        <w:rPr>
          <w:rFonts w:hint="eastAsia"/>
        </w:rPr>
      </w:pPr>
      <w:r>
        <w:rPr>
          <w:rFonts w:hint="eastAsia"/>
        </w:rPr>
        <w:t>理解基尔霍夫定律，能应用KCL、KVL列出电路方程</w:t>
      </w:r>
    </w:p>
    <w:p w14:paraId="022F7960">
      <w:pPr>
        <w:pStyle w:val="19"/>
        <w:rPr>
          <w:rFonts w:hint="eastAsia"/>
        </w:rPr>
      </w:pPr>
      <w:r>
        <w:rPr>
          <w:rFonts w:hint="eastAsia"/>
        </w:rPr>
        <w:t>会使用直流电流表、直流电压表、万用表，会测量直流电路的电流、电压（电位）；</w:t>
      </w:r>
    </w:p>
    <w:p w14:paraId="72500A73">
      <w:pPr>
        <w:pStyle w:val="19"/>
        <w:rPr>
          <w:rFonts w:hint="eastAsia"/>
        </w:rPr>
      </w:pPr>
      <w:r>
        <w:rPr>
          <w:rFonts w:hint="eastAsia"/>
        </w:rPr>
        <w:t>掌握交流电波形图；</w:t>
      </w:r>
    </w:p>
    <w:p w14:paraId="03ADCEED">
      <w:pPr>
        <w:pStyle w:val="19"/>
        <w:rPr>
          <w:rFonts w:hint="eastAsia"/>
        </w:rPr>
      </w:pPr>
      <w:r>
        <w:rPr>
          <w:rFonts w:hint="eastAsia"/>
        </w:rPr>
        <w:t>掌握频率、角频率、周期的概念及其关系；</w:t>
      </w:r>
    </w:p>
    <w:p w14:paraId="3DE808C7">
      <w:pPr>
        <w:pStyle w:val="19"/>
        <w:rPr>
          <w:rFonts w:hint="eastAsia"/>
        </w:rPr>
      </w:pPr>
      <w:r>
        <w:rPr>
          <w:rFonts w:hint="eastAsia"/>
        </w:rPr>
        <w:t>掌握最大值、有效值的概念及其关系；</w:t>
      </w:r>
    </w:p>
    <w:p w14:paraId="09A59A5B">
      <w:pPr>
        <w:pStyle w:val="19"/>
        <w:rPr>
          <w:rFonts w:hint="eastAsia"/>
        </w:rPr>
      </w:pPr>
      <w:r>
        <w:rPr>
          <w:rFonts w:hint="eastAsia"/>
        </w:rPr>
        <w:t>理解电阻元件的电压与电流的关系，了解其有功功率；</w:t>
      </w:r>
    </w:p>
    <w:p w14:paraId="311F434A">
      <w:pPr>
        <w:pStyle w:val="19"/>
        <w:rPr>
          <w:rFonts w:hint="eastAsia"/>
        </w:rPr>
      </w:pPr>
      <w:r>
        <w:rPr>
          <w:rFonts w:hint="eastAsia"/>
        </w:rPr>
        <w:t>理解电感元件的电压与电流的关系</w:t>
      </w:r>
    </w:p>
    <w:p w14:paraId="17654A7F">
      <w:pPr>
        <w:pStyle w:val="19"/>
        <w:rPr>
          <w:rFonts w:hint="eastAsia"/>
        </w:rPr>
      </w:pPr>
      <w:r>
        <w:rPr>
          <w:rFonts w:hint="eastAsia"/>
        </w:rPr>
        <w:t>理解电容元件的电压与电流的关系</w:t>
      </w:r>
    </w:p>
    <w:p w14:paraId="23E7B119">
      <w:pPr>
        <w:pStyle w:val="19"/>
        <w:rPr>
          <w:rFonts w:hint="eastAsia"/>
        </w:rPr>
      </w:pPr>
      <w:r>
        <w:rPr>
          <w:rFonts w:hint="eastAsia"/>
        </w:rPr>
        <w:t>理解RL串联电路的阻抗概念</w:t>
      </w:r>
    </w:p>
    <w:p w14:paraId="0A81C016">
      <w:pPr>
        <w:pStyle w:val="19"/>
        <w:rPr>
          <w:rFonts w:hint="eastAsia"/>
        </w:rPr>
      </w:pPr>
      <w:r>
        <w:rPr>
          <w:rFonts w:hint="eastAsia"/>
        </w:rPr>
        <w:t>理解电路有功功率、无功功率和视在功率的概念；</w:t>
      </w:r>
    </w:p>
    <w:p w14:paraId="2EB2C1B8">
      <w:pPr>
        <w:pStyle w:val="19"/>
        <w:rPr>
          <w:rFonts w:hint="eastAsia"/>
        </w:rPr>
      </w:pPr>
      <w:r>
        <w:rPr>
          <w:rFonts w:hint="eastAsia"/>
        </w:rPr>
        <w:t>理解功率三角形和电路的功率因数，了解功率因数的意义；</w:t>
      </w:r>
    </w:p>
    <w:p w14:paraId="1ABE6C63">
      <w:pPr>
        <w:pStyle w:val="19"/>
        <w:rPr>
          <w:rFonts w:hint="eastAsia"/>
        </w:rPr>
      </w:pPr>
      <w:r>
        <w:rPr>
          <w:rFonts w:hint="eastAsia"/>
        </w:rPr>
        <w:t>理解相序的意义；</w:t>
      </w:r>
    </w:p>
    <w:p w14:paraId="1650E2D1">
      <w:pPr>
        <w:pStyle w:val="19"/>
        <w:rPr>
          <w:rFonts w:hint="eastAsia"/>
        </w:rPr>
      </w:pPr>
      <w:r>
        <w:rPr>
          <w:rFonts w:hint="eastAsia"/>
        </w:rPr>
        <w:t xml:space="preserve">理解变压器的工作原理及变压比、变流比的概念；    </w:t>
      </w:r>
    </w:p>
    <w:p w14:paraId="381A1F07">
      <w:pPr>
        <w:pStyle w:val="19"/>
        <w:rPr>
          <w:rFonts w:hint="eastAsia"/>
        </w:rPr>
      </w:pPr>
      <w:r>
        <w:rPr>
          <w:rFonts w:hint="eastAsia"/>
        </w:rPr>
        <w:t>理解三相异步电动机的机械特性的含义</w:t>
      </w:r>
    </w:p>
    <w:p w14:paraId="5D2524BC">
      <w:pPr>
        <w:pStyle w:val="19"/>
        <w:rPr>
          <w:rFonts w:hint="eastAsia"/>
        </w:rPr>
      </w:pPr>
      <w:r>
        <w:rPr>
          <w:rFonts w:hint="eastAsia"/>
        </w:rPr>
        <w:t>通过查阅资料等方式，能列举出桥式整流电路在电子电器或设备中的应用</w:t>
      </w:r>
    </w:p>
    <w:p w14:paraId="74FF2E4A">
      <w:pPr>
        <w:pStyle w:val="19"/>
        <w:rPr>
          <w:rFonts w:hint="eastAsia"/>
        </w:rPr>
      </w:pPr>
      <w:r>
        <w:rPr>
          <w:rFonts w:hint="eastAsia"/>
        </w:rPr>
        <w:t>能识读电容滤波、电感滤波、复式滤波电路图；</w:t>
      </w:r>
    </w:p>
    <w:p w14:paraId="7C9FBF98">
      <w:pPr>
        <w:pStyle w:val="19"/>
        <w:rPr>
          <w:rFonts w:hint="eastAsia"/>
        </w:rPr>
      </w:pPr>
      <w:r>
        <w:rPr>
          <w:rFonts w:hint="eastAsia"/>
        </w:rPr>
        <w:t>能识读共射放大电路的基本放大电路图，理解共射放大电路的电路结构和主要元器件的作用；</w:t>
      </w:r>
    </w:p>
    <w:p w14:paraId="17862E05">
      <w:pPr>
        <w:pStyle w:val="19"/>
        <w:rPr>
          <w:rFonts w:hint="eastAsia"/>
        </w:rPr>
      </w:pPr>
      <w:r>
        <w:rPr>
          <w:rFonts w:hint="eastAsia"/>
        </w:rPr>
        <w:t>能识读反相放大器、同相放大器电路图</w:t>
      </w:r>
    </w:p>
    <w:p w14:paraId="11A03CC7">
      <w:pPr>
        <w:pStyle w:val="19"/>
        <w:rPr>
          <w:rFonts w:hint="eastAsia"/>
        </w:rPr>
      </w:pPr>
      <w:r>
        <w:rPr>
          <w:rFonts w:hint="eastAsia"/>
        </w:rPr>
        <w:t>能列举模拟信号与数字信号的实例，能列举实际生活中应用的不同进制数</w:t>
      </w:r>
    </w:p>
    <w:p w14:paraId="4B48524B">
      <w:pPr>
        <w:pStyle w:val="19"/>
        <w:rPr>
          <w:rFonts w:hint="eastAsia"/>
        </w:rPr>
      </w:pPr>
      <w:r>
        <w:rPr>
          <w:rFonts w:hint="eastAsia"/>
        </w:rPr>
        <w:t>能识别与门、或门、非门等基本逻辑门，与非门、或非门、与或非门等复合逻辑门电路图符号；</w:t>
      </w:r>
    </w:p>
    <w:p w14:paraId="3089E356">
      <w:pPr>
        <w:pStyle w:val="19"/>
        <w:rPr>
          <w:rFonts w:hint="eastAsia"/>
        </w:rPr>
      </w:pPr>
      <w:r>
        <w:rPr>
          <w:rFonts w:hint="eastAsia"/>
        </w:rPr>
        <w:t>理解组合逻辑电路的读图方法和步骤；</w:t>
      </w:r>
    </w:p>
    <w:p w14:paraId="06EDEDDF">
      <w:pPr>
        <w:pStyle w:val="19"/>
        <w:rPr>
          <w:rFonts w:hint="eastAsia"/>
        </w:rPr>
      </w:pPr>
      <w:r>
        <w:rPr>
          <w:rFonts w:hint="eastAsia"/>
        </w:rPr>
        <w:t>掌握二进制、十进制等典型集成计数器的应用</w:t>
      </w:r>
    </w:p>
    <w:p w14:paraId="4A09AF55">
      <w:pPr>
        <w:spacing w:line="360" w:lineRule="auto"/>
        <w:ind w:firstLine="480" w:firstLineChars="20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3.能力目标</w:t>
      </w:r>
    </w:p>
    <w:p w14:paraId="4239E768">
      <w:pPr>
        <w:pStyle w:val="19"/>
        <w:numPr>
          <w:ilvl w:val="0"/>
          <w:numId w:val="5"/>
        </w:numPr>
        <w:rPr>
          <w:rFonts w:hint="eastAsia"/>
        </w:rPr>
      </w:pPr>
      <w:r>
        <w:rPr>
          <w:rFonts w:hint="eastAsia"/>
        </w:rPr>
        <w:t>能正确选择电气火灾处理方法</w:t>
      </w:r>
    </w:p>
    <w:p w14:paraId="426F5693">
      <w:pPr>
        <w:pStyle w:val="19"/>
        <w:numPr>
          <w:ilvl w:val="0"/>
          <w:numId w:val="5"/>
        </w:numPr>
        <w:rPr>
          <w:rFonts w:hint="eastAsia"/>
        </w:rPr>
      </w:pPr>
      <w:r>
        <w:rPr>
          <w:rFonts w:hint="eastAsia"/>
        </w:rPr>
        <w:t>会识读基本的电气符号和简单的电路图；</w:t>
      </w:r>
    </w:p>
    <w:p w14:paraId="44591E6B">
      <w:pPr>
        <w:pStyle w:val="19"/>
        <w:numPr>
          <w:ilvl w:val="0"/>
          <w:numId w:val="5"/>
        </w:numPr>
        <w:rPr>
          <w:rFonts w:hint="eastAsia"/>
        </w:rPr>
      </w:pPr>
      <w:r>
        <w:rPr>
          <w:rFonts w:hint="eastAsia"/>
        </w:rPr>
        <w:t>能自己动手操作，安装简单电路</w:t>
      </w:r>
    </w:p>
    <w:p w14:paraId="29F0C09F">
      <w:pPr>
        <w:pStyle w:val="19"/>
        <w:numPr>
          <w:ilvl w:val="0"/>
          <w:numId w:val="5"/>
        </w:numPr>
        <w:rPr>
          <w:rFonts w:hint="eastAsia"/>
        </w:rPr>
      </w:pPr>
      <w:r>
        <w:rPr>
          <w:rFonts w:hint="eastAsia"/>
        </w:rPr>
        <w:t>会使用万用表的电阻挡测量电阻，并能正确读数</w:t>
      </w:r>
    </w:p>
    <w:p w14:paraId="141A4DC2">
      <w:pPr>
        <w:pStyle w:val="19"/>
        <w:numPr>
          <w:ilvl w:val="0"/>
          <w:numId w:val="5"/>
        </w:numPr>
        <w:rPr>
          <w:rFonts w:hint="eastAsia"/>
        </w:rPr>
      </w:pPr>
      <w:r>
        <w:rPr>
          <w:rFonts w:hint="eastAsia"/>
        </w:rPr>
        <w:t>会识别不同类型的电容器，能判断其好坏，了解其应用</w:t>
      </w:r>
    </w:p>
    <w:p w14:paraId="5025D594">
      <w:pPr>
        <w:pStyle w:val="19"/>
        <w:numPr>
          <w:ilvl w:val="0"/>
          <w:numId w:val="5"/>
        </w:numPr>
        <w:rPr>
          <w:rFonts w:hint="eastAsia"/>
        </w:rPr>
      </w:pPr>
      <w:r>
        <w:rPr>
          <w:rFonts w:hint="eastAsia"/>
        </w:rPr>
        <w:t>会识别不同类型的电感器，能判断其好坏，了解其应用</w:t>
      </w:r>
    </w:p>
    <w:p w14:paraId="567F8141">
      <w:pPr>
        <w:pStyle w:val="19"/>
        <w:numPr>
          <w:ilvl w:val="0"/>
          <w:numId w:val="5"/>
        </w:numPr>
        <w:rPr>
          <w:rFonts w:hint="eastAsia"/>
        </w:rPr>
      </w:pPr>
      <w:r>
        <w:rPr>
          <w:rFonts w:hint="eastAsia"/>
        </w:rPr>
        <w:t>掌握试电笔使用方法</w:t>
      </w:r>
    </w:p>
    <w:p w14:paraId="748E896E">
      <w:pPr>
        <w:pStyle w:val="19"/>
        <w:numPr>
          <w:ilvl w:val="0"/>
          <w:numId w:val="5"/>
        </w:numPr>
        <w:rPr>
          <w:rFonts w:hint="eastAsia"/>
        </w:rPr>
      </w:pPr>
      <w:r>
        <w:rPr>
          <w:rFonts w:hint="eastAsia"/>
        </w:rPr>
        <w:t>能安装照明电路配电板，会单相电能表接线；</w:t>
      </w:r>
    </w:p>
    <w:p w14:paraId="1B3B339B">
      <w:pPr>
        <w:pStyle w:val="19"/>
        <w:numPr>
          <w:ilvl w:val="0"/>
          <w:numId w:val="5"/>
        </w:numPr>
        <w:rPr>
          <w:rFonts w:hint="eastAsia"/>
        </w:rPr>
      </w:pPr>
      <w:r>
        <w:rPr>
          <w:rFonts w:hint="eastAsia"/>
        </w:rPr>
        <w:t>会按照图纸要求安装荧光灯电路并能排除荧光灯电路的简单故障</w:t>
      </w:r>
    </w:p>
    <w:p w14:paraId="49377156">
      <w:pPr>
        <w:pStyle w:val="19"/>
        <w:numPr>
          <w:ilvl w:val="0"/>
          <w:numId w:val="5"/>
        </w:numPr>
        <w:rPr>
          <w:rFonts w:hint="eastAsia"/>
        </w:rPr>
      </w:pPr>
      <w:r>
        <w:rPr>
          <w:rFonts w:hint="eastAsia"/>
        </w:rPr>
        <w:t>会保护人身与设备安全，防止发生触电事故</w:t>
      </w:r>
    </w:p>
    <w:p w14:paraId="6F03DAA3">
      <w:pPr>
        <w:pStyle w:val="19"/>
        <w:numPr>
          <w:ilvl w:val="0"/>
          <w:numId w:val="5"/>
        </w:numPr>
        <w:rPr>
          <w:rFonts w:hint="eastAsia"/>
        </w:rPr>
      </w:pPr>
      <w:r>
        <w:rPr>
          <w:rFonts w:hint="eastAsia"/>
        </w:rPr>
        <w:t>会根据照明需要，合理选用灯具</w:t>
      </w:r>
    </w:p>
    <w:p w14:paraId="01E79CB9">
      <w:pPr>
        <w:pStyle w:val="19"/>
        <w:numPr>
          <w:ilvl w:val="0"/>
          <w:numId w:val="5"/>
        </w:numPr>
        <w:rPr>
          <w:rFonts w:hint="eastAsia"/>
        </w:rPr>
      </w:pPr>
      <w:r>
        <w:rPr>
          <w:rFonts w:hint="eastAsia"/>
        </w:rPr>
        <w:t>会根据工作场所合理选用熔断器、电源开关、交流接触器、主令电器、继电器等常用低压电器</w:t>
      </w:r>
    </w:p>
    <w:p w14:paraId="2D742246">
      <w:pPr>
        <w:pStyle w:val="19"/>
        <w:numPr>
          <w:ilvl w:val="0"/>
          <w:numId w:val="5"/>
        </w:numPr>
        <w:rPr>
          <w:rFonts w:hint="eastAsia"/>
        </w:rPr>
      </w:pPr>
      <w:r>
        <w:rPr>
          <w:rFonts w:hint="eastAsia"/>
        </w:rPr>
        <w:t>会点动与连续运行控制线路配电板的配线及安装；</w:t>
      </w:r>
    </w:p>
    <w:p w14:paraId="5B53B2B1">
      <w:pPr>
        <w:pStyle w:val="19"/>
        <w:numPr>
          <w:ilvl w:val="0"/>
          <w:numId w:val="5"/>
        </w:numPr>
        <w:rPr>
          <w:rFonts w:hint="eastAsia"/>
        </w:rPr>
      </w:pPr>
      <w:r>
        <w:rPr>
          <w:rFonts w:hint="eastAsia"/>
        </w:rPr>
        <w:t>会接触器互锁正反转控制线路配电板的配线及安装</w:t>
      </w:r>
    </w:p>
    <w:p w14:paraId="34FB2A49">
      <w:pPr>
        <w:pStyle w:val="19"/>
        <w:numPr>
          <w:ilvl w:val="0"/>
          <w:numId w:val="5"/>
        </w:numPr>
        <w:rPr>
          <w:rFonts w:hint="eastAsia"/>
        </w:rPr>
      </w:pPr>
      <w:r>
        <w:rPr>
          <w:rFonts w:hint="eastAsia"/>
        </w:rPr>
        <w:t>初步掌握基本的焊接要领；</w:t>
      </w:r>
    </w:p>
    <w:p w14:paraId="22920145">
      <w:pPr>
        <w:pStyle w:val="19"/>
        <w:numPr>
          <w:ilvl w:val="0"/>
          <w:numId w:val="5"/>
        </w:numPr>
        <w:rPr>
          <w:rFonts w:hint="eastAsia"/>
        </w:rPr>
      </w:pPr>
      <w:r>
        <w:rPr>
          <w:rFonts w:hint="eastAsia"/>
        </w:rPr>
        <w:t>能识别二极管引脚，并合理使用；</w:t>
      </w:r>
    </w:p>
    <w:p w14:paraId="56478A3C">
      <w:pPr>
        <w:pStyle w:val="19"/>
        <w:numPr>
          <w:ilvl w:val="0"/>
          <w:numId w:val="5"/>
        </w:numPr>
        <w:rPr>
          <w:rFonts w:hint="eastAsia"/>
        </w:rPr>
      </w:pPr>
      <w:r>
        <w:rPr>
          <w:rFonts w:hint="eastAsia"/>
        </w:rPr>
        <w:t>能识别硅稳压管、发光二极管、光电二极管、变容二极管等典型二极管</w:t>
      </w:r>
    </w:p>
    <w:p w14:paraId="118EF54B">
      <w:pPr>
        <w:pStyle w:val="19"/>
        <w:numPr>
          <w:ilvl w:val="0"/>
          <w:numId w:val="5"/>
        </w:numPr>
        <w:rPr>
          <w:rFonts w:hint="eastAsia"/>
        </w:rPr>
      </w:pPr>
      <w:r>
        <w:rPr>
          <w:rFonts w:hint="eastAsia"/>
        </w:rPr>
        <w:t>能用万用表判别二极管的极性和好坏</w:t>
      </w:r>
    </w:p>
    <w:p w14:paraId="3464FB63">
      <w:pPr>
        <w:pStyle w:val="19"/>
        <w:numPr>
          <w:ilvl w:val="0"/>
          <w:numId w:val="5"/>
        </w:numPr>
        <w:rPr>
          <w:rFonts w:hint="eastAsia"/>
        </w:rPr>
      </w:pPr>
      <w:r>
        <w:rPr>
          <w:rFonts w:hint="eastAsia"/>
        </w:rPr>
        <w:t>能识别三极管引脚，并合理使用；</w:t>
      </w:r>
    </w:p>
    <w:p w14:paraId="210CE733">
      <w:pPr>
        <w:pStyle w:val="19"/>
        <w:numPr>
          <w:ilvl w:val="0"/>
          <w:numId w:val="5"/>
        </w:numPr>
        <w:rPr>
          <w:rFonts w:hint="eastAsia"/>
        </w:rPr>
      </w:pPr>
      <w:r>
        <w:rPr>
          <w:rFonts w:hint="eastAsia"/>
        </w:rPr>
        <w:t>会用万用表判别三极管的类型、引脚及三极管的好坏</w:t>
      </w:r>
    </w:p>
    <w:p w14:paraId="070E4807">
      <w:pPr>
        <w:pStyle w:val="19"/>
        <w:numPr>
          <w:ilvl w:val="0"/>
          <w:numId w:val="5"/>
        </w:numPr>
        <w:rPr>
          <w:rFonts w:hint="eastAsia"/>
        </w:rPr>
      </w:pPr>
      <w:r>
        <w:rPr>
          <w:rFonts w:hint="eastAsia"/>
        </w:rPr>
        <w:t>能正确搭接桥式整流电路，并简述其工作原理；</w:t>
      </w:r>
    </w:p>
    <w:p w14:paraId="49EDE65F">
      <w:pPr>
        <w:pStyle w:val="19"/>
        <w:numPr>
          <w:ilvl w:val="0"/>
          <w:numId w:val="5"/>
        </w:numPr>
        <w:rPr>
          <w:rFonts w:hint="eastAsia"/>
        </w:rPr>
      </w:pPr>
      <w:r>
        <w:rPr>
          <w:rFonts w:hint="eastAsia"/>
        </w:rPr>
        <w:t>会用万用表测量相关电量参数，用示波器观察波形；</w:t>
      </w:r>
    </w:p>
    <w:p w14:paraId="46AB9C55">
      <w:pPr>
        <w:pStyle w:val="19"/>
        <w:numPr>
          <w:ilvl w:val="0"/>
          <w:numId w:val="5"/>
        </w:numPr>
        <w:rPr>
          <w:rFonts w:hint="eastAsia"/>
        </w:rPr>
      </w:pPr>
      <w:r>
        <w:rPr>
          <w:rFonts w:hint="eastAsia"/>
        </w:rPr>
        <w:t>能识别TTL门电路引脚；</w:t>
      </w:r>
    </w:p>
    <w:p w14:paraId="40995035">
      <w:pPr>
        <w:pStyle w:val="19"/>
        <w:numPr>
          <w:ilvl w:val="0"/>
          <w:numId w:val="5"/>
        </w:numPr>
        <w:rPr>
          <w:rFonts w:hint="eastAsia"/>
        </w:rPr>
      </w:pPr>
      <w:r>
        <w:rPr>
          <w:rFonts w:hint="eastAsia"/>
        </w:rPr>
        <w:t>能识别CMOS门电路引脚，掌握其安全操作的方法</w:t>
      </w:r>
    </w:p>
    <w:p w14:paraId="54A6C73C">
      <w:pPr>
        <w:pStyle w:val="19"/>
        <w:numPr>
          <w:ilvl w:val="0"/>
          <w:numId w:val="5"/>
        </w:numPr>
        <w:rPr>
          <w:rFonts w:hint="eastAsia"/>
        </w:rPr>
      </w:pPr>
      <w:r>
        <w:rPr>
          <w:rFonts w:hint="eastAsia"/>
        </w:rPr>
        <w:t>会搭接RS触发器电子控制电路</w:t>
      </w:r>
    </w:p>
    <w:p w14:paraId="1D363BAA">
      <w:pPr>
        <w:pStyle w:val="19"/>
        <w:numPr>
          <w:ilvl w:val="0"/>
          <w:numId w:val="5"/>
        </w:numPr>
        <w:rPr>
          <w:rFonts w:hint="eastAsia"/>
        </w:rPr>
      </w:pPr>
      <w:r>
        <w:rPr>
          <w:rFonts w:hint="eastAsia"/>
        </w:rPr>
        <w:t>会根据功能表正确使用典型集成编码电路、典型集成译码电路</w:t>
      </w:r>
    </w:p>
    <w:p w14:paraId="449BADB1">
      <w:pPr>
        <w:pStyle w:val="19"/>
        <w:numPr>
          <w:ilvl w:val="0"/>
          <w:numId w:val="5"/>
        </w:numPr>
        <w:rPr>
          <w:rFonts w:hint="eastAsia"/>
        </w:rPr>
      </w:pPr>
      <w:r>
        <w:rPr>
          <w:rFonts w:hint="eastAsia"/>
        </w:rPr>
        <w:t>会安装和调试共射基本放大电路</w:t>
      </w:r>
    </w:p>
    <w:p w14:paraId="066CEC21">
      <w:pPr>
        <w:numPr>
          <w:ilvl w:val="0"/>
          <w:numId w:val="2"/>
        </w:numPr>
        <w:outlineLvl w:val="0"/>
        <w:rPr>
          <w:rFonts w:ascii="黑体" w:hAnsi="黑体" w:eastAsia="黑体" w:cs="黑体"/>
          <w:color w:val="000000" w:themeColor="text1"/>
          <w:sz w:val="28"/>
          <w:szCs w:val="28"/>
          <w14:textFill>
            <w14:solidFill>
              <w14:schemeClr w14:val="tx1"/>
            </w14:solidFill>
          </w14:textFill>
        </w:rPr>
        <w:sectPr>
          <w:footerReference r:id="rId6" w:type="first"/>
          <w:footerReference r:id="rId5" w:type="default"/>
          <w:pgSz w:w="11906" w:h="16838"/>
          <w:pgMar w:top="1440" w:right="1800" w:bottom="1440" w:left="1800" w:header="851" w:footer="992" w:gutter="0"/>
          <w:cols w:space="425" w:num="1"/>
          <w:titlePg/>
          <w:docGrid w:type="lines" w:linePitch="312" w:charSpace="0"/>
        </w:sectPr>
      </w:pPr>
    </w:p>
    <w:p w14:paraId="67C1AD60">
      <w:pPr>
        <w:numPr>
          <w:ilvl w:val="0"/>
          <w:numId w:val="2"/>
        </w:numPr>
        <w:outlineLvl w:val="0"/>
        <w:rPr>
          <w:rFonts w:ascii="黑体" w:hAnsi="黑体" w:eastAsia="黑体" w:cs="黑体"/>
          <w:color w:val="000000" w:themeColor="text1"/>
          <w:sz w:val="28"/>
          <w:szCs w:val="28"/>
          <w14:textFill>
            <w14:solidFill>
              <w14:schemeClr w14:val="tx1"/>
            </w14:solidFill>
          </w14:textFill>
        </w:rPr>
      </w:pPr>
      <w:bookmarkStart w:id="11" w:name="_Toc171066598"/>
      <w:r>
        <w:rPr>
          <w:rFonts w:hint="eastAsia" w:ascii="黑体" w:hAnsi="黑体" w:eastAsia="黑体" w:cs="黑体"/>
          <w:color w:val="000000" w:themeColor="text1"/>
          <w:sz w:val="28"/>
          <w:szCs w:val="28"/>
          <w14:textFill>
            <w14:solidFill>
              <w14:schemeClr w14:val="tx1"/>
            </w14:solidFill>
          </w14:textFill>
        </w:rPr>
        <w:t>课程结构与内容</w:t>
      </w:r>
      <w:bookmarkEnd w:id="11"/>
    </w:p>
    <w:p w14:paraId="0C251F75">
      <w:pPr>
        <w:numPr>
          <w:ilvl w:val="0"/>
          <w:numId w:val="6"/>
        </w:numPr>
        <w:outlineLvl w:val="1"/>
        <w:rPr>
          <w:rFonts w:ascii="楷体" w:hAnsi="楷体" w:eastAsia="楷体" w:cs="楷体"/>
          <w:color w:val="000000" w:themeColor="text1"/>
          <w:sz w:val="28"/>
          <w:szCs w:val="28"/>
          <w14:textFill>
            <w14:solidFill>
              <w14:schemeClr w14:val="tx1"/>
            </w14:solidFill>
          </w14:textFill>
        </w:rPr>
      </w:pPr>
      <w:bookmarkStart w:id="12" w:name="_Toc171066599"/>
      <w:r>
        <w:rPr>
          <w:rFonts w:hint="eastAsia" w:ascii="楷体" w:hAnsi="楷体" w:eastAsia="楷体" w:cs="楷体"/>
          <w:color w:val="000000" w:themeColor="text1"/>
          <w:sz w:val="28"/>
          <w:szCs w:val="28"/>
          <w14:textFill>
            <w14:solidFill>
              <w14:schemeClr w14:val="tx1"/>
            </w14:solidFill>
          </w14:textFill>
        </w:rPr>
        <w:t>课程结构</w:t>
      </w:r>
      <w:bookmarkEnd w:id="12"/>
    </w:p>
    <w:p w14:paraId="6792B761">
      <w:pPr>
        <w:spacing w:line="360" w:lineRule="auto"/>
        <w:ind w:firstLine="48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1. 基础模块是各专业学生必修的基础性内容和应该达到的基本要求，教学时数为54学时。帮助学生学习电路知识，注重培养学生的实际应用和实际操作能力，为学生职业生涯可持续发展奠定坚实的基础。</w:t>
      </w:r>
    </w:p>
    <w:p w14:paraId="32735A89">
      <w:pPr>
        <w:spacing w:line="360" w:lineRule="auto"/>
        <w:ind w:firstLine="480"/>
        <w:rPr>
          <w:rFonts w:ascii="楷体" w:hAnsi="楷体" w:eastAsia="楷体" w:cs="楷体"/>
          <w:color w:val="000000" w:themeColor="text1"/>
          <w:sz w:val="28"/>
          <w:szCs w:val="28"/>
          <w14:textFill>
            <w14:solidFill>
              <w14:schemeClr w14:val="tx1"/>
            </w14:solidFill>
          </w14:textFill>
        </w:rPr>
      </w:pPr>
      <w:r>
        <w:rPr>
          <w:rFonts w:hint="eastAsia" w:ascii="楷体" w:hAnsi="楷体" w:eastAsia="楷体" w:cs="楷体"/>
          <w:color w:val="000000" w:themeColor="text1"/>
          <w:sz w:val="28"/>
          <w:szCs w:val="28"/>
          <w14:textFill>
            <w14:solidFill>
              <w14:schemeClr w14:val="tx1"/>
            </w14:solidFill>
          </w14:textFill>
        </w:rPr>
        <w:t>（二）课程内容</w:t>
      </w:r>
    </w:p>
    <w:p w14:paraId="0E650813">
      <w:pPr>
        <w:spacing w:line="360" w:lineRule="auto"/>
        <w:ind w:firstLine="48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本课程总课时为54学时3学分，课程内容及教学要求如表2所示。</w:t>
      </w:r>
    </w:p>
    <w:p w14:paraId="54F36D42">
      <w:pPr>
        <w:spacing w:line="360" w:lineRule="auto"/>
        <w:rPr>
          <w:rFonts w:ascii="仿宋" w:hAnsi="仿宋" w:eastAsia="仿宋" w:cs="仿宋"/>
          <w:color w:val="000000" w:themeColor="text1"/>
          <w:sz w:val="24"/>
          <w14:textFill>
            <w14:solidFill>
              <w14:schemeClr w14:val="tx1"/>
            </w14:solidFill>
          </w14:textFill>
        </w:rPr>
      </w:pPr>
    </w:p>
    <w:p w14:paraId="19B36B33">
      <w:pPr>
        <w:pStyle w:val="3"/>
        <w:jc w:val="center"/>
        <w:rPr>
          <w:rFonts w:ascii="仿宋" w:hAnsi="仿宋" w:eastAsia="仿宋" w:cs="仿宋"/>
          <w:b/>
          <w:bCs/>
          <w:color w:val="000000" w:themeColor="text1"/>
          <w:sz w:val="21"/>
          <w:szCs w:val="28"/>
          <w14:textFill>
            <w14:solidFill>
              <w14:schemeClr w14:val="tx1"/>
            </w14:solidFill>
          </w14:textFill>
        </w:rPr>
      </w:pPr>
      <w:r>
        <w:rPr>
          <w:rFonts w:hint="eastAsia" w:ascii="仿宋" w:hAnsi="仿宋" w:eastAsia="仿宋" w:cs="仿宋"/>
          <w:b/>
          <w:bCs/>
          <w:color w:val="000000" w:themeColor="text1"/>
          <w:sz w:val="21"/>
          <w:szCs w:val="28"/>
          <w14:textFill>
            <w14:solidFill>
              <w14:schemeClr w14:val="tx1"/>
            </w14:solidFill>
          </w14:textFill>
        </w:rPr>
        <w:t xml:space="preserve">表 </w:t>
      </w:r>
      <w:r>
        <w:rPr>
          <w:rFonts w:hint="eastAsia" w:ascii="仿宋" w:hAnsi="仿宋" w:eastAsia="仿宋" w:cs="仿宋"/>
          <w:b/>
          <w:bCs/>
          <w:color w:val="000000" w:themeColor="text1"/>
          <w:sz w:val="21"/>
          <w:szCs w:val="28"/>
          <w14:textFill>
            <w14:solidFill>
              <w14:schemeClr w14:val="tx1"/>
            </w14:solidFill>
          </w14:textFill>
        </w:rPr>
        <w:fldChar w:fldCharType="begin"/>
      </w:r>
      <w:r>
        <w:rPr>
          <w:rFonts w:hint="eastAsia" w:ascii="仿宋" w:hAnsi="仿宋" w:eastAsia="仿宋" w:cs="仿宋"/>
          <w:b/>
          <w:bCs/>
          <w:color w:val="000000" w:themeColor="text1"/>
          <w:sz w:val="21"/>
          <w:szCs w:val="28"/>
          <w14:textFill>
            <w14:solidFill>
              <w14:schemeClr w14:val="tx1"/>
            </w14:solidFill>
          </w14:textFill>
        </w:rPr>
        <w:instrText xml:space="preserve"> SEQ 表 \* ARABIC </w:instrText>
      </w:r>
      <w:r>
        <w:rPr>
          <w:rFonts w:hint="eastAsia" w:ascii="仿宋" w:hAnsi="仿宋" w:eastAsia="仿宋" w:cs="仿宋"/>
          <w:b/>
          <w:bCs/>
          <w:color w:val="000000" w:themeColor="text1"/>
          <w:sz w:val="21"/>
          <w:szCs w:val="28"/>
          <w14:textFill>
            <w14:solidFill>
              <w14:schemeClr w14:val="tx1"/>
            </w14:solidFill>
          </w14:textFill>
        </w:rPr>
        <w:fldChar w:fldCharType="separate"/>
      </w:r>
      <w:r>
        <w:rPr>
          <w:rFonts w:hint="eastAsia" w:ascii="仿宋" w:hAnsi="仿宋" w:eastAsia="仿宋" w:cs="仿宋"/>
          <w:b/>
          <w:bCs/>
          <w:color w:val="000000" w:themeColor="text1"/>
          <w:sz w:val="21"/>
          <w:szCs w:val="28"/>
          <w14:textFill>
            <w14:solidFill>
              <w14:schemeClr w14:val="tx1"/>
            </w14:solidFill>
          </w14:textFill>
        </w:rPr>
        <w:t>2</w:t>
      </w:r>
      <w:r>
        <w:rPr>
          <w:rFonts w:hint="eastAsia" w:ascii="仿宋" w:hAnsi="仿宋" w:eastAsia="仿宋" w:cs="仿宋"/>
          <w:b/>
          <w:bCs/>
          <w:color w:val="000000" w:themeColor="text1"/>
          <w:sz w:val="21"/>
          <w:szCs w:val="28"/>
          <w14:textFill>
            <w14:solidFill>
              <w14:schemeClr w14:val="tx1"/>
            </w14:solidFill>
          </w14:textFill>
        </w:rPr>
        <w:fldChar w:fldCharType="end"/>
      </w:r>
      <w:r>
        <w:rPr>
          <w:rFonts w:hint="eastAsia" w:ascii="仿宋" w:hAnsi="仿宋" w:eastAsia="仿宋" w:cs="仿宋"/>
          <w:b/>
          <w:bCs/>
          <w:color w:val="000000" w:themeColor="text1"/>
          <w:sz w:val="21"/>
          <w:szCs w:val="28"/>
          <w14:textFill>
            <w14:solidFill>
              <w14:schemeClr w14:val="tx1"/>
            </w14:solidFill>
          </w14:textFill>
        </w:rPr>
        <w:t xml:space="preserve"> 课程内容及教学要求</w:t>
      </w:r>
    </w:p>
    <w:p w14:paraId="4D47B638"/>
    <w:tbl>
      <w:tblPr>
        <w:tblStyle w:val="12"/>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8"/>
        <w:gridCol w:w="936"/>
        <w:gridCol w:w="983"/>
        <w:gridCol w:w="2483"/>
        <w:gridCol w:w="1584"/>
        <w:gridCol w:w="1638"/>
      </w:tblGrid>
      <w:tr w14:paraId="4971D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Align w:val="center"/>
          </w:tcPr>
          <w:p w14:paraId="13243E6D">
            <w:pPr>
              <w:jc w:val="center"/>
              <w:rPr>
                <w:rFonts w:ascii="仿宋" w:hAnsi="仿宋" w:eastAsia="仿宋" w:cs="仿宋"/>
                <w:b/>
                <w:bCs/>
                <w:color w:val="000000" w:themeColor="text1"/>
                <w:szCs w:val="21"/>
                <w14:textFill>
                  <w14:solidFill>
                    <w14:schemeClr w14:val="tx1"/>
                  </w14:solidFill>
                </w14:textFill>
              </w:rPr>
            </w:pPr>
            <w:r>
              <w:rPr>
                <w:rFonts w:ascii="仿宋" w:hAnsi="仿宋" w:eastAsia="仿宋" w:cs="仿宋"/>
                <w:b/>
                <w:bCs/>
                <w:color w:val="000000" w:themeColor="text1"/>
                <w:szCs w:val="21"/>
                <w14:textFill>
                  <w14:solidFill>
                    <w14:schemeClr w14:val="tx1"/>
                  </w14:solidFill>
                </w14:textFill>
              </w:rPr>
              <w:t>项目</w:t>
            </w:r>
          </w:p>
        </w:tc>
        <w:tc>
          <w:tcPr>
            <w:tcW w:w="936" w:type="dxa"/>
            <w:vAlign w:val="center"/>
          </w:tcPr>
          <w:p w14:paraId="57F31219">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教学单元</w:t>
            </w:r>
          </w:p>
        </w:tc>
        <w:tc>
          <w:tcPr>
            <w:tcW w:w="983" w:type="dxa"/>
            <w:vAlign w:val="center"/>
          </w:tcPr>
          <w:p w14:paraId="707B863B">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任务</w:t>
            </w:r>
          </w:p>
        </w:tc>
        <w:tc>
          <w:tcPr>
            <w:tcW w:w="2483" w:type="dxa"/>
            <w:vAlign w:val="center"/>
          </w:tcPr>
          <w:p w14:paraId="4DD96CD6">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教学内容与</w:t>
            </w:r>
          </w:p>
          <w:p w14:paraId="29311AB2">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教学要求</w:t>
            </w:r>
          </w:p>
        </w:tc>
        <w:tc>
          <w:tcPr>
            <w:tcW w:w="1584" w:type="dxa"/>
          </w:tcPr>
          <w:p w14:paraId="39477A96">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3+证书</w:t>
            </w:r>
          </w:p>
          <w:p w14:paraId="6D30C8DF">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融入</w:t>
            </w:r>
          </w:p>
        </w:tc>
        <w:tc>
          <w:tcPr>
            <w:tcW w:w="1638" w:type="dxa"/>
            <w:vAlign w:val="center"/>
          </w:tcPr>
          <w:p w14:paraId="6F9886A2">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思政元素</w:t>
            </w:r>
          </w:p>
        </w:tc>
      </w:tr>
      <w:tr w14:paraId="44CA4A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Merge w:val="restart"/>
          </w:tcPr>
          <w:p w14:paraId="4BACA11F">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电</w:t>
            </w:r>
          </w:p>
          <w:p w14:paraId="05CFC192">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路</w:t>
            </w:r>
          </w:p>
          <w:p w14:paraId="07893A8B">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基</w:t>
            </w:r>
          </w:p>
          <w:p w14:paraId="45A5DE22">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础</w:t>
            </w:r>
          </w:p>
        </w:tc>
        <w:tc>
          <w:tcPr>
            <w:tcW w:w="936" w:type="dxa"/>
            <w:vMerge w:val="restart"/>
            <w:vAlign w:val="center"/>
          </w:tcPr>
          <w:p w14:paraId="0D6DA2C0">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认识实训室与安全用电</w:t>
            </w:r>
          </w:p>
        </w:tc>
        <w:tc>
          <w:tcPr>
            <w:tcW w:w="983" w:type="dxa"/>
            <w:vAlign w:val="center"/>
          </w:tcPr>
          <w:p w14:paraId="79B99606">
            <w:pPr>
              <w:jc w:val="center"/>
              <w:rPr>
                <w:rFonts w:ascii="仿宋" w:hAnsi="仿宋" w:eastAsia="仿宋" w:cs="仿宋"/>
                <w:color w:val="000000" w:themeColor="text1"/>
                <w:szCs w:val="21"/>
                <w14:textFill>
                  <w14:solidFill>
                    <w14:schemeClr w14:val="tx1"/>
                  </w14:solidFill>
                </w14:textFill>
              </w:rPr>
            </w:pPr>
            <w:r>
              <w:rPr>
                <w:rFonts w:hint="eastAsia"/>
                <w:kern w:val="0"/>
              </w:rPr>
              <w:t>认识实训室</w:t>
            </w:r>
          </w:p>
        </w:tc>
        <w:tc>
          <w:tcPr>
            <w:tcW w:w="2483" w:type="dxa"/>
            <w:vAlign w:val="center"/>
          </w:tcPr>
          <w:p w14:paraId="0BC2A82F">
            <w:pPr>
              <w:pStyle w:val="25"/>
              <w:ind w:firstLine="210"/>
              <w:rPr>
                <w:kern w:val="0"/>
              </w:rPr>
            </w:pPr>
            <w:r>
              <w:rPr>
                <w:rFonts w:hint="eastAsia" w:cs="宋体"/>
                <w:bCs/>
                <w:kern w:val="0"/>
              </w:rPr>
              <w:t>通过现场观察与讲解，</w:t>
            </w:r>
            <w:r>
              <w:rPr>
                <w:rFonts w:hint="eastAsia"/>
                <w:kern w:val="0"/>
              </w:rPr>
              <w:t>了解电及电工电子产品在实际生产生活中的广泛应用；初步形成对电工电子课程的感性认识，培养学习兴趣；</w:t>
            </w:r>
          </w:p>
          <w:p w14:paraId="7322CBAA">
            <w:pPr>
              <w:jc w:val="left"/>
              <w:rPr>
                <w:rFonts w:ascii="仿宋" w:hAnsi="仿宋" w:eastAsia="仿宋" w:cs="仿宋"/>
                <w:color w:val="000000" w:themeColor="text1"/>
                <w:szCs w:val="21"/>
                <w14:textFill>
                  <w14:solidFill>
                    <w14:schemeClr w14:val="tx1"/>
                  </w14:solidFill>
                </w14:textFill>
              </w:rPr>
            </w:pPr>
            <w:r>
              <w:rPr>
                <w:rFonts w:hint="eastAsia"/>
              </w:rPr>
              <w:t>了解电工实训室的电源配置</w:t>
            </w:r>
            <w:r>
              <w:rPr>
                <w:rFonts w:hint="eastAsia"/>
                <w:kern w:val="0"/>
              </w:rPr>
              <w:t>，了解常用电工电子仪器仪表及工具的类型及作用</w:t>
            </w:r>
          </w:p>
        </w:tc>
        <w:tc>
          <w:tcPr>
            <w:tcW w:w="1584" w:type="dxa"/>
          </w:tcPr>
          <w:p w14:paraId="54EBA09C">
            <w:pPr>
              <w:jc w:val="left"/>
              <w:rPr>
                <w:rFonts w:ascii="仿宋" w:hAnsi="仿宋" w:eastAsia="仿宋"/>
                <w:color w:val="000000" w:themeColor="text1"/>
                <w:szCs w:val="21"/>
                <w14:textFill>
                  <w14:solidFill>
                    <w14:schemeClr w14:val="tx1"/>
                  </w14:solidFill>
                </w14:textFill>
              </w:rPr>
            </w:pPr>
          </w:p>
        </w:tc>
        <w:tc>
          <w:tcPr>
            <w:tcW w:w="1638" w:type="dxa"/>
            <w:vAlign w:val="center"/>
          </w:tcPr>
          <w:p w14:paraId="3621ABD8">
            <w:pPr>
              <w:jc w:val="left"/>
              <w:rPr>
                <w:rFonts w:ascii="仿宋" w:hAnsi="仿宋" w:eastAsia="仿宋" w:cs="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培养热爱科学、实事求是的科学态度；养成细心观察、认真探索的学习方法；增强自信心，激发兴趣。</w:t>
            </w:r>
          </w:p>
        </w:tc>
      </w:tr>
      <w:tr w14:paraId="6DFE1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Merge w:val="continue"/>
          </w:tcPr>
          <w:p w14:paraId="5E2DFDEC">
            <w:pPr>
              <w:rPr>
                <w:rFonts w:ascii="仿宋" w:hAnsi="仿宋" w:eastAsia="仿宋" w:cs="仿宋"/>
                <w:color w:val="000000" w:themeColor="text1"/>
                <w:szCs w:val="21"/>
                <w14:textFill>
                  <w14:solidFill>
                    <w14:schemeClr w14:val="tx1"/>
                  </w14:solidFill>
                </w14:textFill>
              </w:rPr>
            </w:pPr>
          </w:p>
        </w:tc>
        <w:tc>
          <w:tcPr>
            <w:tcW w:w="936" w:type="dxa"/>
            <w:vMerge w:val="continue"/>
            <w:vAlign w:val="center"/>
          </w:tcPr>
          <w:p w14:paraId="1FA9F8B6">
            <w:pPr>
              <w:rPr>
                <w:rFonts w:ascii="仿宋" w:hAnsi="仿宋" w:eastAsia="仿宋" w:cs="仿宋"/>
                <w:color w:val="000000" w:themeColor="text1"/>
                <w:szCs w:val="21"/>
                <w14:textFill>
                  <w14:solidFill>
                    <w14:schemeClr w14:val="tx1"/>
                  </w14:solidFill>
                </w14:textFill>
              </w:rPr>
            </w:pPr>
          </w:p>
        </w:tc>
        <w:tc>
          <w:tcPr>
            <w:tcW w:w="983" w:type="dxa"/>
            <w:vAlign w:val="center"/>
          </w:tcPr>
          <w:p w14:paraId="4C43F6B0">
            <w:pPr>
              <w:jc w:val="center"/>
              <w:rPr>
                <w:rFonts w:ascii="仿宋" w:hAnsi="仿宋" w:eastAsia="仿宋" w:cs="仿宋"/>
                <w:color w:val="000000" w:themeColor="text1"/>
                <w:szCs w:val="21"/>
                <w14:textFill>
                  <w14:solidFill>
                    <w14:schemeClr w14:val="tx1"/>
                  </w14:solidFill>
                </w14:textFill>
              </w:rPr>
            </w:pPr>
            <w:r>
              <w:rPr>
                <w:rFonts w:hint="eastAsia"/>
                <w:kern w:val="0"/>
              </w:rPr>
              <w:t>安全用电</w:t>
            </w:r>
          </w:p>
        </w:tc>
        <w:tc>
          <w:tcPr>
            <w:tcW w:w="2483" w:type="dxa"/>
            <w:vAlign w:val="center"/>
          </w:tcPr>
          <w:p w14:paraId="598D4748">
            <w:pPr>
              <w:pStyle w:val="25"/>
              <w:ind w:firstLine="210"/>
            </w:pPr>
            <w:r>
              <w:rPr>
                <w:rFonts w:hint="eastAsia"/>
                <w:kern w:val="0"/>
              </w:rPr>
              <w:t>掌握实训室操作规程及安全用电的规定，树立安全用电与规范操作的职业意识；</w:t>
            </w:r>
          </w:p>
          <w:p w14:paraId="1BF46EA0">
            <w:pPr>
              <w:pStyle w:val="25"/>
              <w:ind w:firstLine="210"/>
              <w:rPr>
                <w:kern w:val="0"/>
              </w:rPr>
            </w:pPr>
            <w:r>
              <w:rPr>
                <w:rFonts w:hint="eastAsia"/>
                <w:kern w:val="0"/>
              </w:rPr>
              <w:t>通过模拟演示等教学手段，了解人体触电的类型及常见原因，掌握防止触电的保护措施，了解触电现场的紧急处理措施；</w:t>
            </w:r>
          </w:p>
          <w:p w14:paraId="3A79D5BA">
            <w:pPr>
              <w:jc w:val="left"/>
              <w:rPr>
                <w:rFonts w:ascii="仿宋" w:hAnsi="仿宋" w:eastAsia="仿宋" w:cs="仿宋"/>
                <w:color w:val="000000" w:themeColor="text1"/>
                <w:szCs w:val="21"/>
                <w14:textFill>
                  <w14:solidFill>
                    <w14:schemeClr w14:val="tx1"/>
                  </w14:solidFill>
                </w14:textFill>
              </w:rPr>
            </w:pPr>
            <w:r>
              <w:rPr>
                <w:rFonts w:hint="eastAsia"/>
                <w:kern w:val="0"/>
              </w:rPr>
              <w:t>通过模拟演示等教学手段，了解电气火灾的防范及扑救常识，能正确选择处理方法</w:t>
            </w:r>
          </w:p>
        </w:tc>
        <w:tc>
          <w:tcPr>
            <w:tcW w:w="1584" w:type="dxa"/>
          </w:tcPr>
          <w:p w14:paraId="5B84740F">
            <w:pPr>
              <w:jc w:val="center"/>
              <w:rPr>
                <w:rFonts w:ascii="仿宋" w:hAnsi="仿宋" w:eastAsia="仿宋"/>
                <w:color w:val="000000" w:themeColor="text1"/>
                <w:szCs w:val="21"/>
                <w14:textFill>
                  <w14:solidFill>
                    <w14:schemeClr w14:val="tx1"/>
                  </w14:solidFill>
                </w14:textFill>
              </w:rPr>
            </w:pPr>
          </w:p>
        </w:tc>
        <w:tc>
          <w:tcPr>
            <w:tcW w:w="1638" w:type="dxa"/>
            <w:vAlign w:val="center"/>
          </w:tcPr>
          <w:p w14:paraId="4BB15B08">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培养热爱科学、实事求是的科学态度；养成细心观察、认真探索的学习方法；增强自信心，激发兴趣。</w:t>
            </w:r>
          </w:p>
        </w:tc>
      </w:tr>
      <w:tr w14:paraId="6A92A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Merge w:val="continue"/>
          </w:tcPr>
          <w:p w14:paraId="50478FF3">
            <w:pPr>
              <w:widowControl/>
              <w:jc w:val="center"/>
              <w:rPr>
                <w:kern w:val="0"/>
              </w:rPr>
            </w:pPr>
          </w:p>
        </w:tc>
        <w:tc>
          <w:tcPr>
            <w:tcW w:w="936" w:type="dxa"/>
            <w:vMerge w:val="restart"/>
            <w:vAlign w:val="center"/>
          </w:tcPr>
          <w:p w14:paraId="551AC74C">
            <w:pPr>
              <w:widowControl/>
              <w:jc w:val="center"/>
              <w:rPr>
                <w:rFonts w:ascii="仿宋" w:hAnsi="仿宋" w:eastAsia="仿宋" w:cs="仿宋"/>
                <w:b/>
                <w:bCs/>
                <w:color w:val="000000" w:themeColor="text1"/>
                <w:szCs w:val="21"/>
                <w14:textFill>
                  <w14:solidFill>
                    <w14:schemeClr w14:val="tx1"/>
                  </w14:solidFill>
                </w14:textFill>
              </w:rPr>
            </w:pPr>
            <w:r>
              <w:rPr>
                <w:rFonts w:hint="eastAsia"/>
                <w:kern w:val="0"/>
              </w:rPr>
              <w:t>直流电路</w:t>
            </w:r>
          </w:p>
        </w:tc>
        <w:tc>
          <w:tcPr>
            <w:tcW w:w="983" w:type="dxa"/>
            <w:vAlign w:val="center"/>
          </w:tcPr>
          <w:p w14:paraId="1A8FA51A">
            <w:pPr>
              <w:jc w:val="center"/>
              <w:rPr>
                <w:rFonts w:ascii="仿宋" w:hAnsi="仿宋" w:eastAsia="仿宋" w:cs="仿宋"/>
                <w:color w:val="000000" w:themeColor="text1"/>
                <w:szCs w:val="21"/>
                <w14:textFill>
                  <w14:solidFill>
                    <w14:schemeClr w14:val="tx1"/>
                  </w14:solidFill>
                </w14:textFill>
              </w:rPr>
            </w:pPr>
            <w:r>
              <w:rPr>
                <w:rFonts w:hint="eastAsia"/>
                <w:kern w:val="0"/>
              </w:rPr>
              <w:t>电路</w:t>
            </w:r>
          </w:p>
        </w:tc>
        <w:tc>
          <w:tcPr>
            <w:tcW w:w="2483" w:type="dxa"/>
            <w:vAlign w:val="center"/>
          </w:tcPr>
          <w:p w14:paraId="433C53FA">
            <w:pPr>
              <w:pStyle w:val="25"/>
              <w:ind w:firstLine="210"/>
              <w:rPr>
                <w:kern w:val="0"/>
              </w:rPr>
            </w:pPr>
            <w:r>
              <w:rPr>
                <w:rFonts w:hint="eastAsia"/>
                <w:kern w:val="0"/>
              </w:rPr>
              <w:t>通过拆装简易电器装置等实践活动，认识简单的实物电路，了解电路的基本组成；</w:t>
            </w:r>
          </w:p>
          <w:p w14:paraId="7C6E8452">
            <w:pPr>
              <w:pStyle w:val="25"/>
              <w:ind w:firstLine="210"/>
              <w:rPr>
                <w:kern w:val="0"/>
              </w:rPr>
            </w:pPr>
            <w:r>
              <w:rPr>
                <w:rFonts w:hint="eastAsia"/>
                <w:kern w:val="0"/>
              </w:rPr>
              <w:t>通过查阅电工手册及相关资料，会识读基本的电气符号和简单的电路图；</w:t>
            </w:r>
          </w:p>
          <w:p w14:paraId="596BD71F">
            <w:pPr>
              <w:jc w:val="left"/>
              <w:rPr>
                <w:rFonts w:ascii="仿宋" w:hAnsi="仿宋" w:eastAsia="仿宋" w:cs="仿宋"/>
                <w:color w:val="000000" w:themeColor="text1"/>
                <w:szCs w:val="21"/>
                <w14:textFill>
                  <w14:solidFill>
                    <w14:schemeClr w14:val="tx1"/>
                  </w14:solidFill>
                </w14:textFill>
              </w:rPr>
            </w:pPr>
            <w:r>
              <w:rPr>
                <w:rFonts w:hint="eastAsia"/>
                <w:kern w:val="0"/>
              </w:rPr>
              <w:t>能自己动手操作，安装简单电路</w:t>
            </w:r>
          </w:p>
        </w:tc>
        <w:tc>
          <w:tcPr>
            <w:tcW w:w="1584" w:type="dxa"/>
          </w:tcPr>
          <w:p w14:paraId="61F7E2FF">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识读基本的电气符号和简单的电路图</w:t>
            </w:r>
          </w:p>
        </w:tc>
        <w:tc>
          <w:tcPr>
            <w:tcW w:w="1638" w:type="dxa"/>
            <w:vAlign w:val="center"/>
          </w:tcPr>
          <w:p w14:paraId="44A43504">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培养热爱科学、实事求是的科学态度；养成细心观察、认真探索的学习方法；增强自信心，激发兴趣。</w:t>
            </w:r>
          </w:p>
        </w:tc>
      </w:tr>
      <w:tr w14:paraId="2285B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Merge w:val="continue"/>
          </w:tcPr>
          <w:p w14:paraId="58D456F3">
            <w:pPr>
              <w:widowControl/>
              <w:jc w:val="center"/>
              <w:rPr>
                <w:rFonts w:ascii="仿宋" w:hAnsi="仿宋" w:eastAsia="仿宋" w:cs="仿宋"/>
                <w:color w:val="000000" w:themeColor="text1"/>
                <w:kern w:val="0"/>
                <w:szCs w:val="21"/>
                <w:lang w:bidi="ar"/>
                <w14:textFill>
                  <w14:solidFill>
                    <w14:schemeClr w14:val="tx1"/>
                  </w14:solidFill>
                </w14:textFill>
              </w:rPr>
            </w:pPr>
          </w:p>
        </w:tc>
        <w:tc>
          <w:tcPr>
            <w:tcW w:w="936" w:type="dxa"/>
            <w:vMerge w:val="continue"/>
            <w:vAlign w:val="center"/>
          </w:tcPr>
          <w:p w14:paraId="185DBB75">
            <w:pPr>
              <w:widowControl/>
              <w:jc w:val="center"/>
              <w:rPr>
                <w:rFonts w:ascii="仿宋" w:hAnsi="仿宋" w:eastAsia="仿宋" w:cs="仿宋"/>
                <w:color w:val="000000" w:themeColor="text1"/>
                <w:kern w:val="0"/>
                <w:szCs w:val="21"/>
                <w:lang w:bidi="ar"/>
                <w14:textFill>
                  <w14:solidFill>
                    <w14:schemeClr w14:val="tx1"/>
                  </w14:solidFill>
                </w14:textFill>
              </w:rPr>
            </w:pPr>
          </w:p>
        </w:tc>
        <w:tc>
          <w:tcPr>
            <w:tcW w:w="983" w:type="dxa"/>
            <w:vAlign w:val="center"/>
          </w:tcPr>
          <w:p w14:paraId="4C09ABAF">
            <w:pPr>
              <w:jc w:val="center"/>
              <w:rPr>
                <w:rFonts w:ascii="仿宋" w:hAnsi="仿宋" w:eastAsia="仿宋" w:cs="仿宋"/>
                <w:color w:val="000000" w:themeColor="text1"/>
                <w:szCs w:val="21"/>
                <w14:textFill>
                  <w14:solidFill>
                    <w14:schemeClr w14:val="tx1"/>
                  </w14:solidFill>
                </w14:textFill>
              </w:rPr>
            </w:pPr>
            <w:r>
              <w:rPr>
                <w:rFonts w:hint="eastAsia"/>
                <w:kern w:val="0"/>
              </w:rPr>
              <w:t>电路的常用物理量</w:t>
            </w:r>
          </w:p>
        </w:tc>
        <w:tc>
          <w:tcPr>
            <w:tcW w:w="2483" w:type="dxa"/>
            <w:vAlign w:val="center"/>
          </w:tcPr>
          <w:p w14:paraId="3C2D53DA">
            <w:pPr>
              <w:pStyle w:val="25"/>
              <w:ind w:firstLine="210"/>
            </w:pPr>
            <w:r>
              <w:rPr>
                <w:rFonts w:hint="eastAsia"/>
                <w:kern w:val="0"/>
              </w:rPr>
              <w:t>理解电路中电流、电压、电位、电动势、电能、电功率等常用物理量的概念；</w:t>
            </w:r>
          </w:p>
          <w:p w14:paraId="7C5CD1E5">
            <w:pPr>
              <w:jc w:val="left"/>
              <w:rPr>
                <w:rFonts w:ascii="仿宋" w:hAnsi="仿宋" w:eastAsia="仿宋" w:cs="仿宋"/>
                <w:color w:val="000000" w:themeColor="text1"/>
                <w:szCs w:val="21"/>
                <w14:textFill>
                  <w14:solidFill>
                    <w14:schemeClr w14:val="tx1"/>
                  </w14:solidFill>
                </w14:textFill>
              </w:rPr>
            </w:pPr>
            <w:r>
              <w:rPr>
                <w:rFonts w:hint="eastAsia"/>
                <w:kern w:val="0"/>
              </w:rPr>
              <w:t>能对直流电路的常用物理量进行简单的分析与计算</w:t>
            </w:r>
          </w:p>
        </w:tc>
        <w:tc>
          <w:tcPr>
            <w:tcW w:w="1584" w:type="dxa"/>
          </w:tcPr>
          <w:p w14:paraId="1E58070B">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对直流电路的常用物理量进行简单的分析与计算</w:t>
            </w:r>
          </w:p>
        </w:tc>
        <w:tc>
          <w:tcPr>
            <w:tcW w:w="1638" w:type="dxa"/>
            <w:vAlign w:val="center"/>
          </w:tcPr>
          <w:p w14:paraId="18CD997B">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培养热爱科学、实事求是的科学态度；养成细心观察、认真探索的学习方法；增强自信心，激发兴趣，培养团结协作的团队精神。</w:t>
            </w:r>
          </w:p>
        </w:tc>
      </w:tr>
      <w:tr w14:paraId="4C060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Merge w:val="continue"/>
          </w:tcPr>
          <w:p w14:paraId="7ACE2D57">
            <w:pPr>
              <w:widowControl/>
              <w:jc w:val="center"/>
              <w:rPr>
                <w:rFonts w:ascii="仿宋" w:hAnsi="仿宋" w:eastAsia="仿宋" w:cs="仿宋"/>
                <w:color w:val="000000" w:themeColor="text1"/>
                <w:kern w:val="0"/>
                <w:szCs w:val="21"/>
                <w:lang w:bidi="ar"/>
                <w14:textFill>
                  <w14:solidFill>
                    <w14:schemeClr w14:val="tx1"/>
                  </w14:solidFill>
                </w14:textFill>
              </w:rPr>
            </w:pPr>
          </w:p>
        </w:tc>
        <w:tc>
          <w:tcPr>
            <w:tcW w:w="936" w:type="dxa"/>
            <w:vMerge w:val="continue"/>
            <w:vAlign w:val="center"/>
          </w:tcPr>
          <w:p w14:paraId="7E8894CC">
            <w:pPr>
              <w:widowControl/>
              <w:jc w:val="center"/>
              <w:rPr>
                <w:rFonts w:ascii="仿宋" w:hAnsi="仿宋" w:eastAsia="仿宋" w:cs="仿宋"/>
                <w:color w:val="000000" w:themeColor="text1"/>
                <w:kern w:val="0"/>
                <w:szCs w:val="21"/>
                <w:lang w:bidi="ar"/>
                <w14:textFill>
                  <w14:solidFill>
                    <w14:schemeClr w14:val="tx1"/>
                  </w14:solidFill>
                </w14:textFill>
              </w:rPr>
            </w:pPr>
          </w:p>
        </w:tc>
        <w:tc>
          <w:tcPr>
            <w:tcW w:w="983" w:type="dxa"/>
            <w:vAlign w:val="center"/>
          </w:tcPr>
          <w:p w14:paraId="0A390256">
            <w:pPr>
              <w:jc w:val="center"/>
              <w:rPr>
                <w:rFonts w:ascii="仿宋" w:hAnsi="仿宋" w:eastAsia="仿宋" w:cs="仿宋"/>
                <w:color w:val="000000" w:themeColor="text1"/>
                <w:szCs w:val="21"/>
                <w14:textFill>
                  <w14:solidFill>
                    <w14:schemeClr w14:val="tx1"/>
                  </w14:solidFill>
                </w14:textFill>
              </w:rPr>
            </w:pPr>
            <w:r>
              <w:rPr>
                <w:rFonts w:hint="eastAsia"/>
                <w:kern w:val="0"/>
              </w:rPr>
              <w:t>电阻元件与欧姆定律</w:t>
            </w:r>
          </w:p>
        </w:tc>
        <w:tc>
          <w:tcPr>
            <w:tcW w:w="2483" w:type="dxa"/>
            <w:vAlign w:val="center"/>
          </w:tcPr>
          <w:p w14:paraId="162271FE">
            <w:pPr>
              <w:pStyle w:val="25"/>
              <w:ind w:firstLine="210"/>
            </w:pPr>
            <w:r>
              <w:rPr>
                <w:rFonts w:hint="eastAsia"/>
                <w:kern w:val="0"/>
              </w:rPr>
              <w:t>结合实物，了解电阻器和电位器</w:t>
            </w:r>
            <w:r>
              <w:rPr>
                <w:rFonts w:hint="eastAsia"/>
              </w:rPr>
              <w:t>的外形、结构、作用、主要参数</w:t>
            </w:r>
            <w:r>
              <w:rPr>
                <w:rFonts w:hint="eastAsia"/>
                <w:kern w:val="0"/>
              </w:rPr>
              <w:t>，会计算导体的电阻，了解电阻与温度的关系和超导现象；</w:t>
            </w:r>
          </w:p>
          <w:p w14:paraId="427BD4DF">
            <w:pPr>
              <w:pStyle w:val="25"/>
              <w:ind w:firstLine="218"/>
            </w:pPr>
            <w:r>
              <w:rPr>
                <w:rFonts w:hint="eastAsia"/>
                <w:spacing w:val="4"/>
                <w:kern w:val="0"/>
              </w:rPr>
              <w:t>能区别线性电阻和非线性电阻，了解其在实际工作中的典型应用</w:t>
            </w:r>
            <w:r>
              <w:rPr>
                <w:rFonts w:hint="eastAsia"/>
                <w:kern w:val="0"/>
              </w:rPr>
              <w:t>；</w:t>
            </w:r>
          </w:p>
          <w:p w14:paraId="6DFBE616">
            <w:pPr>
              <w:jc w:val="left"/>
              <w:rPr>
                <w:rFonts w:ascii="仿宋" w:hAnsi="仿宋" w:eastAsia="仿宋" w:cs="仿宋"/>
                <w:color w:val="000000" w:themeColor="text1"/>
                <w:szCs w:val="21"/>
                <w14:textFill>
                  <w14:solidFill>
                    <w14:schemeClr w14:val="tx1"/>
                  </w14:solidFill>
                </w14:textFill>
              </w:rPr>
            </w:pPr>
            <w:r>
              <w:rPr>
                <w:rFonts w:hint="eastAsia"/>
                <w:kern w:val="0"/>
              </w:rPr>
              <w:t>理解欧姆定律的概念，能利用其对电路进行分析与计算</w:t>
            </w:r>
          </w:p>
        </w:tc>
        <w:tc>
          <w:tcPr>
            <w:tcW w:w="1584" w:type="dxa"/>
          </w:tcPr>
          <w:p w14:paraId="1D3220D5">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对电路进行分析与计算</w:t>
            </w:r>
          </w:p>
        </w:tc>
        <w:tc>
          <w:tcPr>
            <w:tcW w:w="1638" w:type="dxa"/>
            <w:vAlign w:val="center"/>
          </w:tcPr>
          <w:p w14:paraId="457C48EA">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培养热爱科学、实事求是的科学态度；养成细心观察、认真探索的学习方法；增强自信心，激发兴趣；培养精益求精工匠精神。</w:t>
            </w:r>
          </w:p>
        </w:tc>
      </w:tr>
      <w:tr w14:paraId="48AF59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898" w:type="dxa"/>
            <w:vMerge w:val="continue"/>
          </w:tcPr>
          <w:p w14:paraId="05680417">
            <w:pPr>
              <w:widowControl/>
              <w:jc w:val="center"/>
              <w:rPr>
                <w:rFonts w:ascii="仿宋" w:hAnsi="仿宋" w:eastAsia="仿宋" w:cs="仿宋"/>
                <w:color w:val="000000" w:themeColor="text1"/>
                <w:kern w:val="0"/>
                <w:szCs w:val="21"/>
                <w:lang w:bidi="ar"/>
                <w14:textFill>
                  <w14:solidFill>
                    <w14:schemeClr w14:val="tx1"/>
                  </w14:solidFill>
                </w14:textFill>
              </w:rPr>
            </w:pPr>
          </w:p>
        </w:tc>
        <w:tc>
          <w:tcPr>
            <w:tcW w:w="936" w:type="dxa"/>
            <w:vMerge w:val="continue"/>
            <w:vAlign w:val="center"/>
          </w:tcPr>
          <w:p w14:paraId="1E41F533">
            <w:pPr>
              <w:widowControl/>
              <w:jc w:val="center"/>
              <w:rPr>
                <w:rFonts w:ascii="仿宋" w:hAnsi="仿宋" w:eastAsia="仿宋" w:cs="仿宋"/>
                <w:color w:val="000000" w:themeColor="text1"/>
                <w:kern w:val="0"/>
                <w:szCs w:val="21"/>
                <w:lang w:bidi="ar"/>
                <w14:textFill>
                  <w14:solidFill>
                    <w14:schemeClr w14:val="tx1"/>
                  </w14:solidFill>
                </w14:textFill>
              </w:rPr>
            </w:pPr>
          </w:p>
        </w:tc>
        <w:tc>
          <w:tcPr>
            <w:tcW w:w="983" w:type="dxa"/>
            <w:vAlign w:val="center"/>
          </w:tcPr>
          <w:p w14:paraId="362E0166">
            <w:pPr>
              <w:jc w:val="center"/>
              <w:rPr>
                <w:rFonts w:ascii="仿宋" w:hAnsi="仿宋" w:eastAsia="仿宋" w:cs="仿宋"/>
                <w:color w:val="000000" w:themeColor="text1"/>
                <w:szCs w:val="21"/>
                <w14:textFill>
                  <w14:solidFill>
                    <w14:schemeClr w14:val="tx1"/>
                  </w14:solidFill>
                </w14:textFill>
              </w:rPr>
            </w:pPr>
            <w:r>
              <w:rPr>
                <w:rFonts w:hint="eastAsia"/>
                <w:kern w:val="0"/>
              </w:rPr>
              <w:t>电阻的连接</w:t>
            </w:r>
          </w:p>
        </w:tc>
        <w:tc>
          <w:tcPr>
            <w:tcW w:w="2483" w:type="dxa"/>
            <w:vAlign w:val="center"/>
          </w:tcPr>
          <w:p w14:paraId="496C0F78">
            <w:pPr>
              <w:pStyle w:val="25"/>
              <w:ind w:firstLine="210"/>
            </w:pPr>
            <w:r>
              <w:rPr>
                <w:rFonts w:hint="eastAsia"/>
                <w:kern w:val="0"/>
              </w:rPr>
              <w:t>掌握电阻串联、并联及混联的连接方式及电路特点；</w:t>
            </w:r>
          </w:p>
          <w:p w14:paraId="164D3847">
            <w:pPr>
              <w:jc w:val="left"/>
              <w:rPr>
                <w:rFonts w:ascii="仿宋" w:hAnsi="仿宋" w:eastAsia="仿宋" w:cs="仿宋"/>
                <w:color w:val="000000" w:themeColor="text1"/>
                <w:szCs w:val="21"/>
                <w14:textFill>
                  <w14:solidFill>
                    <w14:schemeClr w14:val="tx1"/>
                  </w14:solidFill>
                </w14:textFill>
              </w:rPr>
            </w:pPr>
            <w:r>
              <w:rPr>
                <w:rFonts w:hint="eastAsia"/>
                <w:spacing w:val="4"/>
                <w:kern w:val="0"/>
              </w:rPr>
              <w:t>会计算串联、并联及混联电路的等效电阻、电压、电流及电功率</w:t>
            </w:r>
          </w:p>
        </w:tc>
        <w:tc>
          <w:tcPr>
            <w:tcW w:w="1584" w:type="dxa"/>
          </w:tcPr>
          <w:p w14:paraId="6C3336CA">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计算串联、并联及混联电路的等效电阻、电压、电流及电功率</w:t>
            </w:r>
          </w:p>
        </w:tc>
        <w:tc>
          <w:tcPr>
            <w:tcW w:w="1638" w:type="dxa"/>
            <w:vMerge w:val="restart"/>
            <w:vAlign w:val="center"/>
          </w:tcPr>
          <w:p w14:paraId="679EA81D">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培养热爱科学、实事求是的科学态度；养成细心观察、认真探索的学习方法；增强自信心，激发兴趣；培养精益求精工匠精神。</w:t>
            </w:r>
          </w:p>
          <w:p w14:paraId="38A262A6">
            <w:pPr>
              <w:jc w:val="center"/>
              <w:rPr>
                <w:rFonts w:ascii="仿宋" w:hAnsi="仿宋" w:eastAsia="仿宋" w:cs="仿宋"/>
                <w:color w:val="000000" w:themeColor="text1"/>
                <w:szCs w:val="21"/>
                <w14:textFill>
                  <w14:solidFill>
                    <w14:schemeClr w14:val="tx1"/>
                  </w14:solidFill>
                </w14:textFill>
              </w:rPr>
            </w:pPr>
          </w:p>
        </w:tc>
      </w:tr>
      <w:tr w14:paraId="69BF59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898" w:type="dxa"/>
            <w:vMerge w:val="continue"/>
          </w:tcPr>
          <w:p w14:paraId="5B8BED86">
            <w:pPr>
              <w:widowControl/>
              <w:jc w:val="center"/>
              <w:rPr>
                <w:rFonts w:ascii="仿宋" w:hAnsi="仿宋" w:eastAsia="仿宋" w:cs="仿宋"/>
                <w:color w:val="000000" w:themeColor="text1"/>
                <w:kern w:val="0"/>
                <w:szCs w:val="21"/>
                <w:lang w:bidi="ar"/>
                <w14:textFill>
                  <w14:solidFill>
                    <w14:schemeClr w14:val="tx1"/>
                  </w14:solidFill>
                </w14:textFill>
              </w:rPr>
            </w:pPr>
          </w:p>
        </w:tc>
        <w:tc>
          <w:tcPr>
            <w:tcW w:w="936" w:type="dxa"/>
            <w:vMerge w:val="continue"/>
            <w:vAlign w:val="center"/>
          </w:tcPr>
          <w:p w14:paraId="4E370042">
            <w:pPr>
              <w:widowControl/>
              <w:jc w:val="center"/>
              <w:rPr>
                <w:rFonts w:ascii="仿宋" w:hAnsi="仿宋" w:eastAsia="仿宋" w:cs="仿宋"/>
                <w:color w:val="000000" w:themeColor="text1"/>
                <w:kern w:val="0"/>
                <w:szCs w:val="21"/>
                <w:lang w:bidi="ar"/>
                <w14:textFill>
                  <w14:solidFill>
                    <w14:schemeClr w14:val="tx1"/>
                  </w14:solidFill>
                </w14:textFill>
              </w:rPr>
            </w:pPr>
          </w:p>
        </w:tc>
        <w:tc>
          <w:tcPr>
            <w:tcW w:w="983" w:type="dxa"/>
            <w:vAlign w:val="center"/>
          </w:tcPr>
          <w:p w14:paraId="2F11BF3E">
            <w:pPr>
              <w:jc w:val="center"/>
              <w:rPr>
                <w:rFonts w:ascii="仿宋" w:hAnsi="仿宋" w:eastAsia="仿宋" w:cs="仿宋"/>
                <w:b/>
                <w:bCs/>
                <w:color w:val="000000" w:themeColor="text1"/>
                <w:szCs w:val="21"/>
                <w14:textFill>
                  <w14:solidFill>
                    <w14:schemeClr w14:val="tx1"/>
                  </w14:solidFill>
                </w14:textFill>
              </w:rPr>
            </w:pPr>
            <w:r>
              <w:rPr>
                <w:rFonts w:hint="eastAsia"/>
                <w:kern w:val="0"/>
              </w:rPr>
              <w:t>基尔霍夫定律</w:t>
            </w:r>
          </w:p>
        </w:tc>
        <w:tc>
          <w:tcPr>
            <w:tcW w:w="2483" w:type="dxa"/>
            <w:vAlign w:val="center"/>
          </w:tcPr>
          <w:p w14:paraId="56E26A24">
            <w:pPr>
              <w:jc w:val="left"/>
              <w:rPr>
                <w:rFonts w:ascii="仿宋" w:hAnsi="仿宋" w:eastAsia="仿宋" w:cs="仿宋"/>
                <w:color w:val="000000" w:themeColor="text1"/>
                <w:szCs w:val="21"/>
                <w14:textFill>
                  <w14:solidFill>
                    <w14:schemeClr w14:val="tx1"/>
                  </w14:solidFill>
                </w14:textFill>
              </w:rPr>
            </w:pPr>
            <w:r>
              <w:rPr>
                <w:rFonts w:hint="eastAsia"/>
                <w:kern w:val="0"/>
              </w:rPr>
              <w:t>理解基尔霍夫定律，能应用KCL、KVL列出电路方程</w:t>
            </w:r>
          </w:p>
        </w:tc>
        <w:tc>
          <w:tcPr>
            <w:tcW w:w="1584" w:type="dxa"/>
          </w:tcPr>
          <w:p w14:paraId="73B6BD07">
            <w:pPr>
              <w:jc w:val="center"/>
              <w:rPr>
                <w:rFonts w:ascii="仿宋" w:hAnsi="仿宋" w:eastAsia="仿宋" w:cs="仿宋"/>
                <w:color w:val="000000" w:themeColor="text1"/>
                <w:sz w:val="24"/>
                <w14:textFill>
                  <w14:solidFill>
                    <w14:schemeClr w14:val="tx1"/>
                  </w14:solidFill>
                </w14:textFill>
              </w:rPr>
            </w:pPr>
          </w:p>
        </w:tc>
        <w:tc>
          <w:tcPr>
            <w:tcW w:w="1638" w:type="dxa"/>
            <w:vMerge w:val="continue"/>
            <w:vAlign w:val="center"/>
          </w:tcPr>
          <w:p w14:paraId="1BBE2C8A">
            <w:pPr>
              <w:jc w:val="center"/>
              <w:rPr>
                <w:rFonts w:ascii="仿宋" w:hAnsi="仿宋" w:eastAsia="仿宋" w:cs="仿宋"/>
                <w:color w:val="000000" w:themeColor="text1"/>
                <w:sz w:val="24"/>
                <w14:textFill>
                  <w14:solidFill>
                    <w14:schemeClr w14:val="tx1"/>
                  </w14:solidFill>
                </w14:textFill>
              </w:rPr>
            </w:pPr>
          </w:p>
        </w:tc>
      </w:tr>
      <w:tr w14:paraId="3AC83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898" w:type="dxa"/>
            <w:vMerge w:val="continue"/>
          </w:tcPr>
          <w:p w14:paraId="5C91B2DC">
            <w:pPr>
              <w:widowControl/>
              <w:jc w:val="center"/>
              <w:rPr>
                <w:rFonts w:ascii="仿宋" w:hAnsi="仿宋" w:eastAsia="仿宋" w:cs="仿宋"/>
                <w:color w:val="000000" w:themeColor="text1"/>
                <w:kern w:val="0"/>
                <w:szCs w:val="21"/>
                <w:lang w:bidi="ar"/>
                <w14:textFill>
                  <w14:solidFill>
                    <w14:schemeClr w14:val="tx1"/>
                  </w14:solidFill>
                </w14:textFill>
              </w:rPr>
            </w:pPr>
          </w:p>
        </w:tc>
        <w:tc>
          <w:tcPr>
            <w:tcW w:w="936" w:type="dxa"/>
            <w:vAlign w:val="center"/>
          </w:tcPr>
          <w:p w14:paraId="774238E7">
            <w:pPr>
              <w:widowControl/>
              <w:jc w:val="center"/>
              <w:rPr>
                <w:rFonts w:ascii="仿宋" w:hAnsi="仿宋" w:eastAsia="仿宋" w:cs="仿宋"/>
                <w:color w:val="000000" w:themeColor="text1"/>
                <w:kern w:val="0"/>
                <w:szCs w:val="21"/>
                <w:lang w:bidi="ar"/>
                <w14:textFill>
                  <w14:solidFill>
                    <w14:schemeClr w14:val="tx1"/>
                  </w14:solidFill>
                </w14:textFill>
              </w:rPr>
            </w:pPr>
            <w:r>
              <w:rPr>
                <w:rFonts w:hint="eastAsia" w:ascii="仿宋" w:hAnsi="仿宋" w:eastAsia="仿宋" w:cs="仿宋"/>
                <w:color w:val="000000" w:themeColor="text1"/>
                <w:kern w:val="0"/>
                <w:szCs w:val="21"/>
                <w:lang w:bidi="ar"/>
                <w14:textFill>
                  <w14:solidFill>
                    <w14:schemeClr w14:val="tx1"/>
                  </w14:solidFill>
                </w14:textFill>
              </w:rPr>
              <w:t>直流电路</w:t>
            </w:r>
          </w:p>
        </w:tc>
        <w:tc>
          <w:tcPr>
            <w:tcW w:w="983" w:type="dxa"/>
            <w:vAlign w:val="center"/>
          </w:tcPr>
          <w:p w14:paraId="428DE171">
            <w:pPr>
              <w:jc w:val="center"/>
              <w:rPr>
                <w:kern w:val="0"/>
              </w:rPr>
            </w:pPr>
            <w:r>
              <w:rPr>
                <w:rFonts w:hint="eastAsia"/>
                <w:kern w:val="0"/>
              </w:rPr>
              <w:t>实训项目</w:t>
            </w:r>
          </w:p>
        </w:tc>
        <w:tc>
          <w:tcPr>
            <w:tcW w:w="2483" w:type="dxa"/>
            <w:vAlign w:val="center"/>
          </w:tcPr>
          <w:p w14:paraId="7ECE0C43">
            <w:pPr>
              <w:pStyle w:val="25"/>
              <w:spacing w:line="360" w:lineRule="exact"/>
              <w:ind w:firstLine="210"/>
            </w:pPr>
            <w:r>
              <w:rPr>
                <w:rFonts w:hint="eastAsia"/>
                <w:kern w:val="0"/>
              </w:rPr>
              <w:t>会使用直流电流表、直流电压表、万用表，会测量直流电路的电流、电压（电位）；</w:t>
            </w:r>
          </w:p>
          <w:p w14:paraId="580E78B4">
            <w:pPr>
              <w:jc w:val="left"/>
              <w:rPr>
                <w:kern w:val="0"/>
              </w:rPr>
            </w:pPr>
            <w:r>
              <w:rPr>
                <w:rFonts w:hint="eastAsia"/>
                <w:kern w:val="0"/>
              </w:rPr>
              <w:t>会使用万用表的电阻挡测量电阻，并能正确读数</w:t>
            </w:r>
          </w:p>
        </w:tc>
        <w:tc>
          <w:tcPr>
            <w:tcW w:w="1584" w:type="dxa"/>
          </w:tcPr>
          <w:p w14:paraId="33782A52">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1.万能表的使用</w:t>
            </w:r>
          </w:p>
          <w:p w14:paraId="4C235127">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2.正确使用直流电源。</w:t>
            </w:r>
          </w:p>
        </w:tc>
        <w:tc>
          <w:tcPr>
            <w:tcW w:w="1638" w:type="dxa"/>
            <w:vAlign w:val="center"/>
          </w:tcPr>
          <w:p w14:paraId="3E396443">
            <w:pPr>
              <w:jc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培养热爱科学、实事求是的科学态度；养成细心观察、认真探索的学习方法；增强自信心，激发兴趣。</w:t>
            </w:r>
          </w:p>
        </w:tc>
      </w:tr>
      <w:tr w14:paraId="47190D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Merge w:val="continue"/>
          </w:tcPr>
          <w:p w14:paraId="55B1ED5B">
            <w:pPr>
              <w:widowControl/>
              <w:jc w:val="center"/>
              <w:rPr>
                <w:kern w:val="0"/>
              </w:rPr>
            </w:pPr>
          </w:p>
        </w:tc>
        <w:tc>
          <w:tcPr>
            <w:tcW w:w="936" w:type="dxa"/>
            <w:vMerge w:val="restart"/>
            <w:vAlign w:val="center"/>
          </w:tcPr>
          <w:p w14:paraId="161F5E9E">
            <w:pPr>
              <w:widowControl/>
              <w:jc w:val="center"/>
              <w:rPr>
                <w:rFonts w:ascii="仿宋" w:hAnsi="仿宋" w:eastAsia="仿宋" w:cs="仿宋"/>
                <w:b/>
                <w:bCs/>
                <w:color w:val="000000" w:themeColor="text1"/>
                <w:kern w:val="0"/>
                <w:szCs w:val="21"/>
                <w:lang w:bidi="ar"/>
                <w14:textFill>
                  <w14:solidFill>
                    <w14:schemeClr w14:val="tx1"/>
                  </w14:solidFill>
                </w14:textFill>
              </w:rPr>
            </w:pPr>
            <w:r>
              <w:rPr>
                <w:rFonts w:hint="eastAsia"/>
                <w:kern w:val="0"/>
              </w:rPr>
              <w:t>电容与电感</w:t>
            </w:r>
          </w:p>
        </w:tc>
        <w:tc>
          <w:tcPr>
            <w:tcW w:w="983" w:type="dxa"/>
            <w:vAlign w:val="center"/>
          </w:tcPr>
          <w:p w14:paraId="0932D3F4">
            <w:pPr>
              <w:jc w:val="center"/>
              <w:rPr>
                <w:rFonts w:ascii="仿宋" w:hAnsi="仿宋" w:eastAsia="仿宋" w:cs="仿宋"/>
                <w:color w:val="000000" w:themeColor="text1"/>
                <w:szCs w:val="21"/>
                <w14:textFill>
                  <w14:solidFill>
                    <w14:schemeClr w14:val="tx1"/>
                  </w14:solidFill>
                </w14:textFill>
              </w:rPr>
            </w:pPr>
            <w:r>
              <w:rPr>
                <w:rFonts w:hint="eastAsia"/>
                <w:kern w:val="0"/>
              </w:rPr>
              <w:t>电容</w:t>
            </w:r>
          </w:p>
        </w:tc>
        <w:tc>
          <w:tcPr>
            <w:tcW w:w="2483" w:type="dxa"/>
            <w:vAlign w:val="center"/>
          </w:tcPr>
          <w:p w14:paraId="483A32EC">
            <w:pPr>
              <w:jc w:val="left"/>
              <w:rPr>
                <w:rFonts w:ascii="仿宋" w:hAnsi="仿宋" w:eastAsia="仿宋" w:cs="仿宋"/>
                <w:color w:val="000000" w:themeColor="text1"/>
                <w:szCs w:val="21"/>
                <w14:textFill>
                  <w14:solidFill>
                    <w14:schemeClr w14:val="tx1"/>
                  </w14:solidFill>
                </w14:textFill>
              </w:rPr>
            </w:pPr>
            <w:r>
              <w:rPr>
                <w:rFonts w:hint="eastAsia"/>
                <w:kern w:val="0"/>
              </w:rPr>
              <w:t>结合实物，了解实际电容元件，会识别不同类型的电容器，了解电容的概念、参数及标注，能判断其好坏，了解其应用</w:t>
            </w:r>
          </w:p>
        </w:tc>
        <w:tc>
          <w:tcPr>
            <w:tcW w:w="1584" w:type="dxa"/>
          </w:tcPr>
          <w:p w14:paraId="022731C1">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判断电容好坏</w:t>
            </w:r>
          </w:p>
        </w:tc>
        <w:tc>
          <w:tcPr>
            <w:tcW w:w="1638" w:type="dxa"/>
            <w:vAlign w:val="center"/>
          </w:tcPr>
          <w:p w14:paraId="1F8B8925">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培养热爱科学、实事求是的科学态度；养成细心观察、认真探索的学习方法；增强自信心，激发兴趣。</w:t>
            </w:r>
          </w:p>
        </w:tc>
      </w:tr>
      <w:tr w14:paraId="0311B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98" w:type="dxa"/>
            <w:vMerge w:val="continue"/>
          </w:tcPr>
          <w:p w14:paraId="59417178">
            <w:pPr>
              <w:widowControl/>
              <w:jc w:val="center"/>
              <w:rPr>
                <w:rFonts w:ascii="仿宋" w:hAnsi="仿宋" w:eastAsia="仿宋" w:cs="仿宋"/>
                <w:b/>
                <w:bCs/>
                <w:color w:val="000000" w:themeColor="text1"/>
                <w:kern w:val="0"/>
                <w:szCs w:val="21"/>
                <w:lang w:bidi="ar"/>
                <w14:textFill>
                  <w14:solidFill>
                    <w14:schemeClr w14:val="tx1"/>
                  </w14:solidFill>
                </w14:textFill>
              </w:rPr>
            </w:pPr>
          </w:p>
        </w:tc>
        <w:tc>
          <w:tcPr>
            <w:tcW w:w="936" w:type="dxa"/>
            <w:vMerge w:val="continue"/>
            <w:vAlign w:val="center"/>
          </w:tcPr>
          <w:p w14:paraId="27280F7E">
            <w:pPr>
              <w:widowControl/>
              <w:jc w:val="center"/>
              <w:rPr>
                <w:rFonts w:ascii="仿宋" w:hAnsi="仿宋" w:eastAsia="仿宋" w:cs="仿宋"/>
                <w:b/>
                <w:bCs/>
                <w:color w:val="000000" w:themeColor="text1"/>
                <w:kern w:val="0"/>
                <w:szCs w:val="21"/>
                <w:lang w:bidi="ar"/>
                <w14:textFill>
                  <w14:solidFill>
                    <w14:schemeClr w14:val="tx1"/>
                  </w14:solidFill>
                </w14:textFill>
              </w:rPr>
            </w:pPr>
          </w:p>
        </w:tc>
        <w:tc>
          <w:tcPr>
            <w:tcW w:w="983" w:type="dxa"/>
            <w:vAlign w:val="center"/>
          </w:tcPr>
          <w:p w14:paraId="29930125">
            <w:pPr>
              <w:jc w:val="center"/>
              <w:rPr>
                <w:rFonts w:ascii="仿宋" w:hAnsi="仿宋" w:eastAsia="仿宋" w:cs="仿宋"/>
                <w:color w:val="000000" w:themeColor="text1"/>
                <w:szCs w:val="21"/>
                <w14:textFill>
                  <w14:solidFill>
                    <w14:schemeClr w14:val="tx1"/>
                  </w14:solidFill>
                </w14:textFill>
              </w:rPr>
            </w:pPr>
            <w:r>
              <w:rPr>
                <w:rFonts w:hint="eastAsia"/>
                <w:kern w:val="0"/>
              </w:rPr>
              <w:t>电感</w:t>
            </w:r>
          </w:p>
        </w:tc>
        <w:tc>
          <w:tcPr>
            <w:tcW w:w="2483" w:type="dxa"/>
            <w:vAlign w:val="center"/>
          </w:tcPr>
          <w:p w14:paraId="0C0E796D">
            <w:pPr>
              <w:jc w:val="left"/>
              <w:rPr>
                <w:rFonts w:ascii="仿宋" w:hAnsi="仿宋" w:eastAsia="仿宋" w:cs="仿宋"/>
                <w:color w:val="000000" w:themeColor="text1"/>
                <w:szCs w:val="21"/>
                <w14:textFill>
                  <w14:solidFill>
                    <w14:schemeClr w14:val="tx1"/>
                  </w14:solidFill>
                </w14:textFill>
              </w:rPr>
            </w:pPr>
            <w:r>
              <w:rPr>
                <w:rFonts w:hint="eastAsia"/>
                <w:kern w:val="0"/>
              </w:rPr>
              <w:t>结合实物，了解实际电感元件，了解电感的概念，会识别不同类型的电感器，能判断其好坏，了解其应用</w:t>
            </w:r>
          </w:p>
        </w:tc>
        <w:tc>
          <w:tcPr>
            <w:tcW w:w="1584" w:type="dxa"/>
          </w:tcPr>
          <w:p w14:paraId="55C0662C">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判断电感好坏</w:t>
            </w:r>
          </w:p>
        </w:tc>
        <w:tc>
          <w:tcPr>
            <w:tcW w:w="1638" w:type="dxa"/>
            <w:vAlign w:val="center"/>
          </w:tcPr>
          <w:p w14:paraId="3233AA1C">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培养热爱科学、实事求是的科学态度；养成细心观察、认真探索的学习方法；增强自信心，激发兴趣。</w:t>
            </w:r>
          </w:p>
        </w:tc>
      </w:tr>
      <w:tr w14:paraId="666CC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7" w:hRule="atLeast"/>
          <w:jc w:val="center"/>
        </w:trPr>
        <w:tc>
          <w:tcPr>
            <w:tcW w:w="898" w:type="dxa"/>
            <w:vMerge w:val="continue"/>
          </w:tcPr>
          <w:p w14:paraId="3CC34DBD">
            <w:pPr>
              <w:widowControl/>
              <w:jc w:val="center"/>
            </w:pPr>
          </w:p>
        </w:tc>
        <w:tc>
          <w:tcPr>
            <w:tcW w:w="936" w:type="dxa"/>
            <w:vMerge w:val="restart"/>
            <w:vAlign w:val="center"/>
          </w:tcPr>
          <w:p w14:paraId="371DABB1">
            <w:pPr>
              <w:widowControl/>
              <w:jc w:val="center"/>
              <w:rPr>
                <w:rFonts w:ascii="仿宋" w:hAnsi="仿宋" w:eastAsia="仿宋" w:cs="仿宋"/>
                <w:b/>
                <w:bCs/>
                <w:color w:val="000000" w:themeColor="text1"/>
                <w:kern w:val="0"/>
                <w:szCs w:val="21"/>
                <w:lang w:bidi="ar"/>
                <w14:textFill>
                  <w14:solidFill>
                    <w14:schemeClr w14:val="tx1"/>
                  </w14:solidFill>
                </w14:textFill>
              </w:rPr>
            </w:pPr>
            <w:r>
              <w:rPr>
                <w:rFonts w:hint="eastAsia"/>
              </w:rPr>
              <w:t>单相正弦交流电路</w:t>
            </w:r>
          </w:p>
        </w:tc>
        <w:tc>
          <w:tcPr>
            <w:tcW w:w="983" w:type="dxa"/>
            <w:vAlign w:val="center"/>
          </w:tcPr>
          <w:p w14:paraId="0850843D">
            <w:pPr>
              <w:jc w:val="center"/>
              <w:rPr>
                <w:rFonts w:ascii="仿宋" w:hAnsi="仿宋" w:eastAsia="仿宋" w:cs="仿宋"/>
                <w:b/>
                <w:bCs/>
                <w:color w:val="000000" w:themeColor="text1"/>
                <w:szCs w:val="21"/>
                <w14:textFill>
                  <w14:solidFill>
                    <w14:schemeClr w14:val="tx1"/>
                  </w14:solidFill>
                </w14:textFill>
              </w:rPr>
            </w:pPr>
            <w:r>
              <w:rPr>
                <w:rFonts w:hint="eastAsia"/>
                <w:spacing w:val="-6"/>
                <w:kern w:val="0"/>
              </w:rPr>
              <w:t>认识实训室</w:t>
            </w:r>
          </w:p>
        </w:tc>
        <w:tc>
          <w:tcPr>
            <w:tcW w:w="2483" w:type="dxa"/>
            <w:vAlign w:val="center"/>
          </w:tcPr>
          <w:p w14:paraId="59FDF551">
            <w:pPr>
              <w:pStyle w:val="25"/>
              <w:spacing w:line="360" w:lineRule="exact"/>
              <w:ind w:firstLine="218"/>
              <w:rPr>
                <w:spacing w:val="4"/>
              </w:rPr>
            </w:pPr>
            <w:r>
              <w:rPr>
                <w:rFonts w:hint="eastAsia" w:cs="宋体"/>
                <w:bCs/>
                <w:spacing w:val="4"/>
                <w:kern w:val="0"/>
              </w:rPr>
              <w:t>通过现场观察与讲解，</w:t>
            </w:r>
            <w:r>
              <w:rPr>
                <w:rFonts w:hint="eastAsia"/>
                <w:spacing w:val="4"/>
                <w:kern w:val="0"/>
              </w:rPr>
              <w:t>了解实训室工频电源；了解交流电压表、交流电流表、钳形电流表、单相调压器等仪器仪表；</w:t>
            </w:r>
          </w:p>
          <w:p w14:paraId="13EDD0F5">
            <w:pPr>
              <w:jc w:val="left"/>
              <w:rPr>
                <w:rFonts w:ascii="仿宋" w:hAnsi="仿宋" w:eastAsia="仿宋" w:cs="仿宋"/>
                <w:color w:val="000000" w:themeColor="text1"/>
                <w:szCs w:val="21"/>
                <w14:textFill>
                  <w14:solidFill>
                    <w14:schemeClr w14:val="tx1"/>
                  </w14:solidFill>
                </w14:textFill>
              </w:rPr>
            </w:pPr>
            <w:r>
              <w:rPr>
                <w:rFonts w:hint="eastAsia"/>
                <w:kern w:val="0"/>
              </w:rPr>
              <w:t>了解试电笔的构造，掌握其使用方法</w:t>
            </w:r>
          </w:p>
        </w:tc>
        <w:tc>
          <w:tcPr>
            <w:tcW w:w="1584" w:type="dxa"/>
          </w:tcPr>
          <w:p w14:paraId="4DE4CD60">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使用电笔</w:t>
            </w:r>
          </w:p>
        </w:tc>
        <w:tc>
          <w:tcPr>
            <w:tcW w:w="1638" w:type="dxa"/>
            <w:vAlign w:val="center"/>
          </w:tcPr>
          <w:p w14:paraId="3E052518">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培养热爱科学、实事求是的科学态度；养成细心观察、认真探索的学习方法；增强自信心，激发兴趣。</w:t>
            </w:r>
          </w:p>
        </w:tc>
      </w:tr>
      <w:tr w14:paraId="31A42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898" w:type="dxa"/>
            <w:vMerge w:val="continue"/>
          </w:tcPr>
          <w:p w14:paraId="6C80002C">
            <w:pPr>
              <w:widowControl/>
              <w:jc w:val="center"/>
              <w:rPr>
                <w:rFonts w:ascii="仿宋" w:hAnsi="仿宋" w:eastAsia="仿宋" w:cs="仿宋"/>
                <w:b/>
                <w:bCs/>
                <w:color w:val="000000" w:themeColor="text1"/>
                <w:kern w:val="0"/>
                <w:szCs w:val="21"/>
                <w:lang w:bidi="ar"/>
                <w14:textFill>
                  <w14:solidFill>
                    <w14:schemeClr w14:val="tx1"/>
                  </w14:solidFill>
                </w14:textFill>
              </w:rPr>
            </w:pPr>
          </w:p>
        </w:tc>
        <w:tc>
          <w:tcPr>
            <w:tcW w:w="936" w:type="dxa"/>
            <w:vMerge w:val="continue"/>
            <w:vAlign w:val="center"/>
          </w:tcPr>
          <w:p w14:paraId="54A69139">
            <w:pPr>
              <w:widowControl/>
              <w:jc w:val="center"/>
              <w:rPr>
                <w:rFonts w:ascii="仿宋" w:hAnsi="仿宋" w:eastAsia="仿宋" w:cs="仿宋"/>
                <w:b/>
                <w:bCs/>
                <w:color w:val="000000" w:themeColor="text1"/>
                <w:kern w:val="0"/>
                <w:szCs w:val="21"/>
                <w:lang w:bidi="ar"/>
                <w14:textFill>
                  <w14:solidFill>
                    <w14:schemeClr w14:val="tx1"/>
                  </w14:solidFill>
                </w14:textFill>
              </w:rPr>
            </w:pPr>
          </w:p>
        </w:tc>
        <w:tc>
          <w:tcPr>
            <w:tcW w:w="983" w:type="dxa"/>
            <w:vAlign w:val="center"/>
          </w:tcPr>
          <w:p w14:paraId="151E1080">
            <w:pPr>
              <w:jc w:val="center"/>
              <w:rPr>
                <w:rFonts w:ascii="仿宋" w:hAnsi="仿宋" w:eastAsia="仿宋" w:cs="仿宋"/>
                <w:b/>
                <w:bCs/>
                <w:color w:val="000000" w:themeColor="text1"/>
                <w:szCs w:val="21"/>
                <w14:textFill>
                  <w14:solidFill>
                    <w14:schemeClr w14:val="tx1"/>
                  </w14:solidFill>
                </w14:textFill>
              </w:rPr>
            </w:pPr>
            <w:r>
              <w:rPr>
                <w:rFonts w:hint="eastAsia"/>
                <w:spacing w:val="-4"/>
                <w:kern w:val="0"/>
              </w:rPr>
              <w:t>正弦交流电路的基本物理量</w:t>
            </w:r>
          </w:p>
        </w:tc>
        <w:tc>
          <w:tcPr>
            <w:tcW w:w="2483" w:type="dxa"/>
            <w:vAlign w:val="center"/>
          </w:tcPr>
          <w:p w14:paraId="199350AA">
            <w:pPr>
              <w:pStyle w:val="25"/>
              <w:spacing w:line="360" w:lineRule="exact"/>
              <w:ind w:firstLine="210"/>
            </w:pPr>
            <w:r>
              <w:rPr>
                <w:rFonts w:hint="eastAsia"/>
                <w:kern w:val="0"/>
              </w:rPr>
              <w:t>通过实验，观察交流电的产生，了解正弦交流电的产生过程，掌握交流电波形图；</w:t>
            </w:r>
          </w:p>
          <w:p w14:paraId="438A5B48">
            <w:pPr>
              <w:pStyle w:val="25"/>
              <w:spacing w:line="360" w:lineRule="exact"/>
              <w:ind w:firstLine="210"/>
            </w:pPr>
            <w:r>
              <w:rPr>
                <w:rFonts w:hint="eastAsia"/>
                <w:kern w:val="0"/>
              </w:rPr>
              <w:t>掌握频率、角频率、周期的概念及其关系；</w:t>
            </w:r>
          </w:p>
          <w:p w14:paraId="2DDCA49C">
            <w:pPr>
              <w:pStyle w:val="25"/>
              <w:spacing w:line="360" w:lineRule="exact"/>
              <w:ind w:firstLine="210"/>
            </w:pPr>
            <w:r>
              <w:rPr>
                <w:rFonts w:hint="eastAsia"/>
                <w:kern w:val="0"/>
              </w:rPr>
              <w:t>掌握最大值、有效值的概念及其关系；</w:t>
            </w:r>
          </w:p>
          <w:p w14:paraId="04A3CB25">
            <w:pPr>
              <w:pStyle w:val="25"/>
              <w:spacing w:line="360" w:lineRule="exact"/>
              <w:ind w:firstLine="218"/>
              <w:rPr>
                <w:spacing w:val="4"/>
              </w:rPr>
            </w:pPr>
            <w:r>
              <w:rPr>
                <w:rFonts w:hint="eastAsia"/>
                <w:spacing w:val="4"/>
                <w:kern w:val="0"/>
              </w:rPr>
              <w:t>了解初相位与相位差的概念，会进行同频率正弦量相位的比较；</w:t>
            </w:r>
          </w:p>
          <w:p w14:paraId="3D6BBB58">
            <w:pPr>
              <w:jc w:val="left"/>
              <w:rPr>
                <w:rFonts w:ascii="仿宋" w:hAnsi="仿宋" w:eastAsia="仿宋" w:cs="仿宋"/>
                <w:color w:val="000000" w:themeColor="text1"/>
                <w:szCs w:val="21"/>
                <w14:textFill>
                  <w14:solidFill>
                    <w14:schemeClr w14:val="tx1"/>
                  </w14:solidFill>
                </w14:textFill>
              </w:rPr>
            </w:pPr>
            <w:r>
              <w:rPr>
                <w:rFonts w:hint="eastAsia"/>
                <w:kern w:val="0"/>
              </w:rPr>
              <w:t xml:space="preserve">了解正弦量的矢量表示法，能进行正弦量解析式、波形图、矢量图的相互转换 </w:t>
            </w:r>
          </w:p>
        </w:tc>
        <w:tc>
          <w:tcPr>
            <w:tcW w:w="1584" w:type="dxa"/>
          </w:tcPr>
          <w:p w14:paraId="0637FC0D">
            <w:pPr>
              <w:jc w:val="center"/>
              <w:rPr>
                <w:rFonts w:ascii="仿宋" w:hAnsi="仿宋" w:eastAsia="仿宋"/>
                <w:color w:val="000000" w:themeColor="text1"/>
                <w:szCs w:val="21"/>
                <w14:textFill>
                  <w14:solidFill>
                    <w14:schemeClr w14:val="tx1"/>
                  </w14:solidFill>
                </w14:textFill>
              </w:rPr>
            </w:pPr>
          </w:p>
        </w:tc>
        <w:tc>
          <w:tcPr>
            <w:tcW w:w="1638" w:type="dxa"/>
            <w:vAlign w:val="center"/>
          </w:tcPr>
          <w:p w14:paraId="15B09080">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培养热爱科学、实事求是的科学态度；养成细心观察、认真探索的学习方法；增强自信心，激发兴趣；培养精益求精工匠精神。</w:t>
            </w:r>
          </w:p>
        </w:tc>
      </w:tr>
      <w:tr w14:paraId="49543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7" w:hRule="atLeast"/>
          <w:jc w:val="center"/>
        </w:trPr>
        <w:tc>
          <w:tcPr>
            <w:tcW w:w="898" w:type="dxa"/>
            <w:vMerge w:val="continue"/>
          </w:tcPr>
          <w:p w14:paraId="07179FA8">
            <w:pPr>
              <w:widowControl/>
              <w:jc w:val="center"/>
              <w:rPr>
                <w:rFonts w:ascii="仿宋" w:hAnsi="仿宋" w:eastAsia="仿宋" w:cs="仿宋"/>
                <w:b/>
                <w:bCs/>
                <w:color w:val="000000" w:themeColor="text1"/>
                <w:kern w:val="0"/>
                <w:szCs w:val="21"/>
                <w:lang w:bidi="ar"/>
                <w14:textFill>
                  <w14:solidFill>
                    <w14:schemeClr w14:val="tx1"/>
                  </w14:solidFill>
                </w14:textFill>
              </w:rPr>
            </w:pPr>
          </w:p>
        </w:tc>
        <w:tc>
          <w:tcPr>
            <w:tcW w:w="936" w:type="dxa"/>
            <w:vMerge w:val="continue"/>
            <w:vAlign w:val="center"/>
          </w:tcPr>
          <w:p w14:paraId="29627F9C">
            <w:pPr>
              <w:widowControl/>
              <w:jc w:val="center"/>
              <w:rPr>
                <w:rFonts w:ascii="仿宋" w:hAnsi="仿宋" w:eastAsia="仿宋" w:cs="仿宋"/>
                <w:b/>
                <w:bCs/>
                <w:color w:val="000000" w:themeColor="text1"/>
                <w:kern w:val="0"/>
                <w:szCs w:val="21"/>
                <w:lang w:bidi="ar"/>
                <w14:textFill>
                  <w14:solidFill>
                    <w14:schemeClr w14:val="tx1"/>
                  </w14:solidFill>
                </w14:textFill>
              </w:rPr>
            </w:pPr>
          </w:p>
        </w:tc>
        <w:tc>
          <w:tcPr>
            <w:tcW w:w="983" w:type="dxa"/>
            <w:vAlign w:val="center"/>
          </w:tcPr>
          <w:p w14:paraId="42C63C8B">
            <w:pPr>
              <w:jc w:val="center"/>
              <w:rPr>
                <w:rFonts w:ascii="仿宋" w:hAnsi="仿宋" w:eastAsia="仿宋" w:cs="仿宋"/>
                <w:b/>
                <w:bCs/>
                <w:color w:val="000000" w:themeColor="text1"/>
                <w:szCs w:val="21"/>
                <w14:textFill>
                  <w14:solidFill>
                    <w14:schemeClr w14:val="tx1"/>
                  </w14:solidFill>
                </w14:textFill>
              </w:rPr>
            </w:pPr>
            <w:r>
              <w:rPr>
                <w:rFonts w:hint="eastAsia"/>
                <w:spacing w:val="-10"/>
                <w:kern w:val="0"/>
              </w:rPr>
              <w:t>纯电阻、</w:t>
            </w:r>
            <w:r>
              <w:rPr>
                <w:rFonts w:hint="eastAsia"/>
                <w:kern w:val="0"/>
              </w:rPr>
              <w:t>纯电感、纯电容电路</w:t>
            </w:r>
          </w:p>
        </w:tc>
        <w:tc>
          <w:tcPr>
            <w:tcW w:w="2483" w:type="dxa"/>
            <w:vAlign w:val="center"/>
          </w:tcPr>
          <w:p w14:paraId="7322ABD4">
            <w:pPr>
              <w:pStyle w:val="25"/>
              <w:spacing w:line="360" w:lineRule="exact"/>
              <w:ind w:firstLine="210"/>
              <w:rPr>
                <w:kern w:val="0"/>
              </w:rPr>
            </w:pPr>
            <w:r>
              <w:rPr>
                <w:rFonts w:hint="eastAsia"/>
                <w:kern w:val="0"/>
              </w:rPr>
              <w:t>理解电阻元件的电压与电流的关系，了解其有功功率；</w:t>
            </w:r>
          </w:p>
          <w:p w14:paraId="1426E558">
            <w:pPr>
              <w:pStyle w:val="25"/>
              <w:spacing w:line="360" w:lineRule="exact"/>
              <w:ind w:firstLine="210"/>
              <w:rPr>
                <w:kern w:val="0"/>
              </w:rPr>
            </w:pPr>
            <w:r>
              <w:rPr>
                <w:rFonts w:hint="eastAsia"/>
                <w:kern w:val="0"/>
              </w:rPr>
              <w:t>理解电感元件的电压与电流的关系，了解其感抗、有功功率和无功功率；</w:t>
            </w:r>
          </w:p>
          <w:p w14:paraId="4A0D752A">
            <w:pPr>
              <w:jc w:val="left"/>
              <w:rPr>
                <w:rFonts w:ascii="仿宋" w:hAnsi="仿宋" w:eastAsia="仿宋" w:cs="仿宋"/>
                <w:color w:val="000000" w:themeColor="text1"/>
                <w:szCs w:val="21"/>
                <w14:textFill>
                  <w14:solidFill>
                    <w14:schemeClr w14:val="tx1"/>
                  </w14:solidFill>
                </w14:textFill>
              </w:rPr>
            </w:pPr>
            <w:r>
              <w:rPr>
                <w:rFonts w:hint="eastAsia"/>
                <w:kern w:val="0"/>
              </w:rPr>
              <w:t>理解电容元件的电压与电流的关系，了解其容抗、有功功率和无功功率</w:t>
            </w:r>
          </w:p>
        </w:tc>
        <w:tc>
          <w:tcPr>
            <w:tcW w:w="1584" w:type="dxa"/>
          </w:tcPr>
          <w:p w14:paraId="5967450A">
            <w:pPr>
              <w:jc w:val="center"/>
              <w:rPr>
                <w:rFonts w:ascii="仿宋" w:hAnsi="仿宋" w:eastAsia="仿宋"/>
                <w:color w:val="000000" w:themeColor="text1"/>
                <w:szCs w:val="21"/>
                <w14:textFill>
                  <w14:solidFill>
                    <w14:schemeClr w14:val="tx1"/>
                  </w14:solidFill>
                </w14:textFill>
              </w:rPr>
            </w:pPr>
          </w:p>
        </w:tc>
        <w:tc>
          <w:tcPr>
            <w:tcW w:w="1638" w:type="dxa"/>
            <w:vAlign w:val="center"/>
          </w:tcPr>
          <w:p w14:paraId="28EA8DF1">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培养热爱科学、实事求是的科学态度；养成细心观察、认真探索的学习方法；增强自信心，激发兴趣；培养精益求精工匠精神。</w:t>
            </w:r>
          </w:p>
        </w:tc>
      </w:tr>
      <w:tr w14:paraId="787556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898" w:type="dxa"/>
            <w:vMerge w:val="continue"/>
          </w:tcPr>
          <w:p w14:paraId="3CBAC540">
            <w:pPr>
              <w:widowControl/>
              <w:jc w:val="center"/>
              <w:rPr>
                <w:rFonts w:ascii="仿宋" w:hAnsi="仿宋" w:eastAsia="仿宋" w:cs="仿宋"/>
                <w:b/>
                <w:bCs/>
                <w:color w:val="000000" w:themeColor="text1"/>
                <w:kern w:val="0"/>
                <w:szCs w:val="21"/>
                <w:lang w:bidi="ar"/>
                <w14:textFill>
                  <w14:solidFill>
                    <w14:schemeClr w14:val="tx1"/>
                  </w14:solidFill>
                </w14:textFill>
              </w:rPr>
            </w:pPr>
          </w:p>
        </w:tc>
        <w:tc>
          <w:tcPr>
            <w:tcW w:w="936" w:type="dxa"/>
            <w:vMerge w:val="continue"/>
            <w:vAlign w:val="center"/>
          </w:tcPr>
          <w:p w14:paraId="5903DC50">
            <w:pPr>
              <w:widowControl/>
              <w:jc w:val="center"/>
              <w:rPr>
                <w:rFonts w:ascii="仿宋" w:hAnsi="仿宋" w:eastAsia="仿宋" w:cs="仿宋"/>
                <w:b/>
                <w:bCs/>
                <w:color w:val="000000" w:themeColor="text1"/>
                <w:kern w:val="0"/>
                <w:szCs w:val="21"/>
                <w:lang w:bidi="ar"/>
                <w14:textFill>
                  <w14:solidFill>
                    <w14:schemeClr w14:val="tx1"/>
                  </w14:solidFill>
                </w14:textFill>
              </w:rPr>
            </w:pPr>
          </w:p>
        </w:tc>
        <w:tc>
          <w:tcPr>
            <w:tcW w:w="983" w:type="dxa"/>
            <w:vAlign w:val="center"/>
          </w:tcPr>
          <w:p w14:paraId="0427C5C1">
            <w:pPr>
              <w:jc w:val="center"/>
              <w:rPr>
                <w:rFonts w:ascii="仿宋" w:hAnsi="仿宋" w:eastAsia="仿宋" w:cs="仿宋"/>
                <w:b/>
                <w:bCs/>
                <w:color w:val="000000" w:themeColor="text1"/>
                <w:szCs w:val="21"/>
                <w14:textFill>
                  <w14:solidFill>
                    <w14:schemeClr w14:val="tx1"/>
                  </w14:solidFill>
                </w14:textFill>
              </w:rPr>
            </w:pPr>
            <w:r>
              <w:rPr>
                <w:rFonts w:hint="eastAsia"/>
                <w:kern w:val="0"/>
              </w:rPr>
              <w:t>串联电路</w:t>
            </w:r>
          </w:p>
        </w:tc>
        <w:tc>
          <w:tcPr>
            <w:tcW w:w="2483" w:type="dxa"/>
            <w:vAlign w:val="center"/>
          </w:tcPr>
          <w:p w14:paraId="04DA24AE">
            <w:pPr>
              <w:jc w:val="left"/>
              <w:rPr>
                <w:rFonts w:ascii="仿宋" w:hAnsi="仿宋" w:eastAsia="仿宋" w:cs="仿宋"/>
                <w:color w:val="000000" w:themeColor="text1"/>
                <w:szCs w:val="21"/>
                <w14:textFill>
                  <w14:solidFill>
                    <w14:schemeClr w14:val="tx1"/>
                  </w14:solidFill>
                </w14:textFill>
              </w:rPr>
            </w:pPr>
            <w:r>
              <w:rPr>
                <w:rFonts w:hint="eastAsia"/>
                <w:kern w:val="0"/>
              </w:rPr>
              <w:t>理解RL串联电路的阻抗概念，了解电压三角形、阻抗三角形的应用</w:t>
            </w:r>
          </w:p>
        </w:tc>
        <w:tc>
          <w:tcPr>
            <w:tcW w:w="1584" w:type="dxa"/>
          </w:tcPr>
          <w:p w14:paraId="7E09D92C">
            <w:pPr>
              <w:jc w:val="center"/>
              <w:rPr>
                <w:rFonts w:ascii="仿宋" w:hAnsi="仿宋" w:eastAsia="仿宋"/>
                <w:color w:val="000000" w:themeColor="text1"/>
                <w:szCs w:val="21"/>
                <w14:textFill>
                  <w14:solidFill>
                    <w14:schemeClr w14:val="tx1"/>
                  </w14:solidFill>
                </w14:textFill>
              </w:rPr>
            </w:pPr>
          </w:p>
        </w:tc>
        <w:tc>
          <w:tcPr>
            <w:tcW w:w="1638" w:type="dxa"/>
            <w:vAlign w:val="center"/>
          </w:tcPr>
          <w:p w14:paraId="70F169D0">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培养热爱科学、实事求是的科学态度；养成细心观察、认真探索的学习方法；增强自信心，激发兴趣。</w:t>
            </w:r>
          </w:p>
        </w:tc>
      </w:tr>
      <w:tr w14:paraId="26D9B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7" w:hRule="atLeast"/>
          <w:jc w:val="center"/>
        </w:trPr>
        <w:tc>
          <w:tcPr>
            <w:tcW w:w="898" w:type="dxa"/>
            <w:vMerge w:val="continue"/>
          </w:tcPr>
          <w:p w14:paraId="515E3D32">
            <w:pPr>
              <w:widowControl/>
              <w:jc w:val="center"/>
              <w:rPr>
                <w:rFonts w:ascii="仿宋" w:hAnsi="仿宋" w:eastAsia="仿宋" w:cs="仿宋"/>
                <w:b/>
                <w:bCs/>
                <w:color w:val="000000" w:themeColor="text1"/>
                <w:kern w:val="0"/>
                <w:szCs w:val="21"/>
                <w:lang w:bidi="ar"/>
                <w14:textFill>
                  <w14:solidFill>
                    <w14:schemeClr w14:val="tx1"/>
                  </w14:solidFill>
                </w14:textFill>
              </w:rPr>
            </w:pPr>
          </w:p>
        </w:tc>
        <w:tc>
          <w:tcPr>
            <w:tcW w:w="936" w:type="dxa"/>
            <w:vMerge w:val="restart"/>
            <w:vAlign w:val="center"/>
          </w:tcPr>
          <w:p w14:paraId="49C4B0F6">
            <w:pPr>
              <w:widowControl/>
              <w:jc w:val="center"/>
              <w:rPr>
                <w:rFonts w:ascii="仿宋" w:hAnsi="仿宋" w:eastAsia="仿宋" w:cs="仿宋"/>
                <w:b/>
                <w:bCs/>
                <w:color w:val="000000" w:themeColor="text1"/>
                <w:kern w:val="0"/>
                <w:szCs w:val="21"/>
                <w:lang w:bidi="ar"/>
                <w14:textFill>
                  <w14:solidFill>
                    <w14:schemeClr w14:val="tx1"/>
                  </w14:solidFill>
                </w14:textFill>
              </w:rPr>
            </w:pPr>
          </w:p>
        </w:tc>
        <w:tc>
          <w:tcPr>
            <w:tcW w:w="983" w:type="dxa"/>
            <w:vAlign w:val="center"/>
          </w:tcPr>
          <w:p w14:paraId="19C5B2BF">
            <w:pPr>
              <w:jc w:val="center"/>
              <w:rPr>
                <w:rFonts w:ascii="仿宋" w:hAnsi="仿宋" w:eastAsia="仿宋" w:cs="仿宋"/>
                <w:b/>
                <w:bCs/>
                <w:color w:val="000000" w:themeColor="text1"/>
                <w:szCs w:val="21"/>
                <w14:textFill>
                  <w14:solidFill>
                    <w14:schemeClr w14:val="tx1"/>
                  </w14:solidFill>
                </w14:textFill>
              </w:rPr>
            </w:pPr>
            <w:r>
              <w:rPr>
                <w:rFonts w:hint="eastAsia"/>
                <w:kern w:val="0"/>
              </w:rPr>
              <w:t>交流电路的功率</w:t>
            </w:r>
          </w:p>
        </w:tc>
        <w:tc>
          <w:tcPr>
            <w:tcW w:w="2483" w:type="dxa"/>
            <w:vAlign w:val="center"/>
          </w:tcPr>
          <w:p w14:paraId="66177C67">
            <w:pPr>
              <w:pStyle w:val="25"/>
              <w:spacing w:line="360" w:lineRule="exact"/>
              <w:ind w:firstLine="210"/>
              <w:rPr>
                <w:kern w:val="0"/>
              </w:rPr>
            </w:pPr>
            <w:r>
              <w:rPr>
                <w:rFonts w:hint="eastAsia"/>
                <w:kern w:val="0"/>
              </w:rPr>
              <w:t>理解电路有功功率、无功功率和视在功率的概念；</w:t>
            </w:r>
          </w:p>
          <w:p w14:paraId="2E0C7999">
            <w:pPr>
              <w:pStyle w:val="25"/>
              <w:spacing w:line="360" w:lineRule="exact"/>
              <w:ind w:firstLine="210"/>
              <w:rPr>
                <w:kern w:val="0"/>
              </w:rPr>
            </w:pPr>
            <w:r>
              <w:rPr>
                <w:rFonts w:hint="eastAsia"/>
                <w:kern w:val="0"/>
              </w:rPr>
              <w:t>理解功率三角形和电路的功率因数，了解功率因数的意义；</w:t>
            </w:r>
          </w:p>
          <w:p w14:paraId="50671A02">
            <w:pPr>
              <w:jc w:val="left"/>
              <w:rPr>
                <w:rFonts w:ascii="仿宋" w:hAnsi="仿宋" w:eastAsia="仿宋" w:cs="仿宋"/>
                <w:color w:val="000000" w:themeColor="text1"/>
                <w:szCs w:val="21"/>
                <w14:textFill>
                  <w14:solidFill>
                    <w14:schemeClr w14:val="tx1"/>
                  </w14:solidFill>
                </w14:textFill>
              </w:rPr>
            </w:pPr>
            <w:r>
              <w:rPr>
                <w:rFonts w:hint="eastAsia"/>
                <w:kern w:val="0"/>
              </w:rPr>
              <w:t>了解提高功率因数的方法，了解提高电路功率因数在实际生产生活中的意义</w:t>
            </w:r>
          </w:p>
        </w:tc>
        <w:tc>
          <w:tcPr>
            <w:tcW w:w="1584" w:type="dxa"/>
          </w:tcPr>
          <w:p w14:paraId="7DBDC4A5">
            <w:pPr>
              <w:jc w:val="center"/>
              <w:rPr>
                <w:rFonts w:ascii="仿宋" w:hAnsi="仿宋" w:eastAsia="仿宋" w:cs="仿宋"/>
                <w:color w:val="000000" w:themeColor="text1"/>
                <w:szCs w:val="21"/>
                <w14:textFill>
                  <w14:solidFill>
                    <w14:schemeClr w14:val="tx1"/>
                  </w14:solidFill>
                </w14:textFill>
              </w:rPr>
            </w:pPr>
          </w:p>
        </w:tc>
        <w:tc>
          <w:tcPr>
            <w:tcW w:w="1638" w:type="dxa"/>
            <w:vAlign w:val="center"/>
          </w:tcPr>
          <w:p w14:paraId="0A4226DD">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培养热爱科学、实事求是的科学态度；养成细心观察、认真探索的学习方法；增强自信心，激发兴趣。</w:t>
            </w:r>
          </w:p>
        </w:tc>
      </w:tr>
      <w:tr w14:paraId="59D45E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7" w:hRule="atLeast"/>
          <w:jc w:val="center"/>
        </w:trPr>
        <w:tc>
          <w:tcPr>
            <w:tcW w:w="898" w:type="dxa"/>
            <w:vMerge w:val="continue"/>
          </w:tcPr>
          <w:p w14:paraId="6ED2BD2E">
            <w:pPr>
              <w:jc w:val="center"/>
              <w:rPr>
                <w:rFonts w:ascii="仿宋" w:hAnsi="仿宋" w:eastAsia="仿宋" w:cs="仿宋"/>
                <w:b/>
                <w:bCs/>
                <w:color w:val="000000" w:themeColor="text1"/>
                <w:szCs w:val="21"/>
                <w14:textFill>
                  <w14:solidFill>
                    <w14:schemeClr w14:val="tx1"/>
                  </w14:solidFill>
                </w14:textFill>
              </w:rPr>
            </w:pPr>
          </w:p>
        </w:tc>
        <w:tc>
          <w:tcPr>
            <w:tcW w:w="936" w:type="dxa"/>
            <w:vMerge w:val="continue"/>
            <w:vAlign w:val="center"/>
          </w:tcPr>
          <w:p w14:paraId="33019350">
            <w:pPr>
              <w:jc w:val="center"/>
              <w:rPr>
                <w:rFonts w:ascii="仿宋" w:hAnsi="仿宋" w:eastAsia="仿宋" w:cs="仿宋"/>
                <w:b/>
                <w:bCs/>
                <w:color w:val="000000" w:themeColor="text1"/>
                <w:szCs w:val="21"/>
                <w14:textFill>
                  <w14:solidFill>
                    <w14:schemeClr w14:val="tx1"/>
                  </w14:solidFill>
                </w14:textFill>
              </w:rPr>
            </w:pPr>
          </w:p>
        </w:tc>
        <w:tc>
          <w:tcPr>
            <w:tcW w:w="983" w:type="dxa"/>
            <w:vAlign w:val="center"/>
          </w:tcPr>
          <w:p w14:paraId="5E7D2EFD">
            <w:pPr>
              <w:jc w:val="center"/>
              <w:rPr>
                <w:rFonts w:ascii="仿宋" w:hAnsi="仿宋" w:eastAsia="仿宋" w:cs="仿宋"/>
                <w:b/>
                <w:bCs/>
                <w:color w:val="000000" w:themeColor="text1"/>
                <w:szCs w:val="21"/>
                <w14:textFill>
                  <w14:solidFill>
                    <w14:schemeClr w14:val="tx1"/>
                  </w14:solidFill>
                </w14:textFill>
              </w:rPr>
            </w:pPr>
            <w:r>
              <w:rPr>
                <w:rFonts w:hint="eastAsia"/>
                <w:spacing w:val="-4"/>
                <w:kern w:val="0"/>
              </w:rPr>
              <w:t>实训项目</w:t>
            </w:r>
          </w:p>
        </w:tc>
        <w:tc>
          <w:tcPr>
            <w:tcW w:w="2483" w:type="dxa"/>
            <w:vAlign w:val="center"/>
          </w:tcPr>
          <w:p w14:paraId="4CB7E1CB">
            <w:pPr>
              <w:pStyle w:val="25"/>
              <w:spacing w:line="320" w:lineRule="exact"/>
              <w:ind w:firstLine="210"/>
              <w:rPr>
                <w:kern w:val="0"/>
              </w:rPr>
            </w:pPr>
            <w:r>
              <w:rPr>
                <w:rFonts w:hint="eastAsia"/>
                <w:kern w:val="0"/>
              </w:rPr>
              <w:t>了解照明电路配电板的组成，并能安装照明电路配电板，会单相电能表接线；</w:t>
            </w:r>
          </w:p>
          <w:p w14:paraId="03809254">
            <w:pPr>
              <w:jc w:val="left"/>
              <w:rPr>
                <w:rFonts w:ascii="仿宋" w:hAnsi="仿宋" w:eastAsia="仿宋" w:cs="仿宋"/>
                <w:color w:val="000000" w:themeColor="text1"/>
                <w:szCs w:val="21"/>
                <w14:textFill>
                  <w14:solidFill>
                    <w14:schemeClr w14:val="tx1"/>
                  </w14:solidFill>
                </w14:textFill>
              </w:rPr>
            </w:pPr>
            <w:r>
              <w:rPr>
                <w:rFonts w:hint="eastAsia"/>
                <w:spacing w:val="-4"/>
                <w:kern w:val="0"/>
              </w:rPr>
              <w:t>会按照图纸要求安装荧光灯电路并能排除荧光灯电路的简单故</w:t>
            </w:r>
            <w:r>
              <w:rPr>
                <w:rFonts w:hint="eastAsia"/>
                <w:spacing w:val="-2"/>
                <w:kern w:val="0"/>
              </w:rPr>
              <w:t>障</w:t>
            </w:r>
          </w:p>
        </w:tc>
        <w:tc>
          <w:tcPr>
            <w:tcW w:w="1584" w:type="dxa"/>
          </w:tcPr>
          <w:p w14:paraId="1EE54C56">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按照图纸要求安装荧光灯电路并能排除荧光灯电路的简单故障</w:t>
            </w:r>
          </w:p>
        </w:tc>
        <w:tc>
          <w:tcPr>
            <w:tcW w:w="1638" w:type="dxa"/>
            <w:vAlign w:val="center"/>
          </w:tcPr>
          <w:p w14:paraId="500E90C3">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培养热爱科学、实事求是的科学态度；养成细心观察、认真探索的学习方法；增强自信心，激发兴趣。</w:t>
            </w:r>
          </w:p>
        </w:tc>
      </w:tr>
      <w:tr w14:paraId="144E0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7" w:hRule="atLeast"/>
          <w:jc w:val="center"/>
        </w:trPr>
        <w:tc>
          <w:tcPr>
            <w:tcW w:w="898" w:type="dxa"/>
            <w:vMerge w:val="continue"/>
          </w:tcPr>
          <w:p w14:paraId="7FD9CBD8">
            <w:pPr>
              <w:jc w:val="center"/>
              <w:rPr>
                <w:spacing w:val="-4"/>
                <w:kern w:val="0"/>
              </w:rPr>
            </w:pPr>
          </w:p>
        </w:tc>
        <w:tc>
          <w:tcPr>
            <w:tcW w:w="936" w:type="dxa"/>
            <w:vAlign w:val="center"/>
          </w:tcPr>
          <w:p w14:paraId="6DAD900A">
            <w:pPr>
              <w:jc w:val="center"/>
              <w:rPr>
                <w:rFonts w:ascii="仿宋" w:hAnsi="仿宋" w:eastAsia="仿宋" w:cs="仿宋"/>
                <w:b/>
                <w:bCs/>
                <w:color w:val="000000" w:themeColor="text1"/>
                <w:szCs w:val="21"/>
                <w14:textFill>
                  <w14:solidFill>
                    <w14:schemeClr w14:val="tx1"/>
                  </w14:solidFill>
                </w14:textFill>
              </w:rPr>
            </w:pPr>
            <w:r>
              <w:rPr>
                <w:rFonts w:hint="eastAsia"/>
                <w:spacing w:val="-4"/>
                <w:kern w:val="0"/>
              </w:rPr>
              <w:t>三相正弦交流电路</w:t>
            </w:r>
          </w:p>
        </w:tc>
        <w:tc>
          <w:tcPr>
            <w:tcW w:w="983" w:type="dxa"/>
            <w:vAlign w:val="center"/>
          </w:tcPr>
          <w:p w14:paraId="367BCD83">
            <w:pPr>
              <w:jc w:val="center"/>
              <w:rPr>
                <w:rFonts w:ascii="仿宋" w:hAnsi="仿宋" w:eastAsia="仿宋" w:cs="仿宋"/>
                <w:b/>
                <w:bCs/>
                <w:color w:val="000000" w:themeColor="text1"/>
                <w:szCs w:val="21"/>
                <w14:textFill>
                  <w14:solidFill>
                    <w14:schemeClr w14:val="tx1"/>
                  </w14:solidFill>
                </w14:textFill>
              </w:rPr>
            </w:pPr>
            <w:r>
              <w:rPr>
                <w:rFonts w:hint="eastAsia"/>
                <w:kern w:val="0"/>
              </w:rPr>
              <w:t>三相正弦交流电源</w:t>
            </w:r>
          </w:p>
        </w:tc>
        <w:tc>
          <w:tcPr>
            <w:tcW w:w="2483" w:type="dxa"/>
            <w:vAlign w:val="center"/>
          </w:tcPr>
          <w:p w14:paraId="528683D0">
            <w:pPr>
              <w:pStyle w:val="25"/>
              <w:spacing w:line="320" w:lineRule="exact"/>
              <w:ind w:firstLine="218"/>
              <w:rPr>
                <w:spacing w:val="4"/>
                <w:kern w:val="0"/>
              </w:rPr>
            </w:pPr>
            <w:r>
              <w:rPr>
                <w:rFonts w:hint="eastAsia"/>
                <w:spacing w:val="4"/>
                <w:kern w:val="0"/>
              </w:rPr>
              <w:t>通过调查企业生产用电现状，了解三相交流电的应用；</w:t>
            </w:r>
          </w:p>
          <w:p w14:paraId="0D7BA685">
            <w:pPr>
              <w:pStyle w:val="25"/>
              <w:spacing w:line="320" w:lineRule="exact"/>
              <w:ind w:firstLine="0" w:firstLineChars="0"/>
              <w:rPr>
                <w:kern w:val="0"/>
              </w:rPr>
            </w:pPr>
            <w:r>
              <w:rPr>
                <w:rFonts w:hint="eastAsia"/>
                <w:kern w:val="0"/>
              </w:rPr>
              <w:t xml:space="preserve">  了解三相正弦交流电的产生，理解相序的意义；</w:t>
            </w:r>
          </w:p>
          <w:p w14:paraId="4687FA6C">
            <w:pPr>
              <w:jc w:val="left"/>
              <w:rPr>
                <w:rFonts w:ascii="仿宋" w:hAnsi="仿宋" w:eastAsia="仿宋" w:cs="仿宋"/>
                <w:color w:val="000000" w:themeColor="text1"/>
                <w:szCs w:val="21"/>
                <w14:textFill>
                  <w14:solidFill>
                    <w14:schemeClr w14:val="tx1"/>
                  </w14:solidFill>
                </w14:textFill>
              </w:rPr>
            </w:pPr>
            <w:r>
              <w:rPr>
                <w:rFonts w:hint="eastAsia"/>
                <w:kern w:val="0"/>
              </w:rPr>
              <w:t>了解实际生活中的三相四线供电制</w:t>
            </w:r>
          </w:p>
        </w:tc>
        <w:tc>
          <w:tcPr>
            <w:tcW w:w="1584" w:type="dxa"/>
          </w:tcPr>
          <w:p w14:paraId="7E8092A7">
            <w:pPr>
              <w:jc w:val="center"/>
              <w:rPr>
                <w:rFonts w:ascii="仿宋" w:hAnsi="仿宋" w:eastAsia="仿宋" w:cs="仿宋"/>
                <w:color w:val="000000" w:themeColor="text1"/>
                <w:szCs w:val="21"/>
                <w14:textFill>
                  <w14:solidFill>
                    <w14:schemeClr w14:val="tx1"/>
                  </w14:solidFill>
                </w14:textFill>
              </w:rPr>
            </w:pPr>
          </w:p>
        </w:tc>
        <w:tc>
          <w:tcPr>
            <w:tcW w:w="1638" w:type="dxa"/>
            <w:vAlign w:val="center"/>
          </w:tcPr>
          <w:p w14:paraId="101BC47F">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培养热爱科学、实事求是的科学态度；养成细心观察、认真探索的学习方法；增强自信心，激发兴趣。</w:t>
            </w:r>
          </w:p>
        </w:tc>
      </w:tr>
      <w:tr w14:paraId="5CAAD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9" w:hRule="atLeast"/>
          <w:jc w:val="center"/>
        </w:trPr>
        <w:tc>
          <w:tcPr>
            <w:tcW w:w="898" w:type="dxa"/>
            <w:vMerge w:val="restart"/>
          </w:tcPr>
          <w:p w14:paraId="003D7F83">
            <w:pPr>
              <w:jc w:val="center"/>
              <w:rPr>
                <w:spacing w:val="-10"/>
                <w:kern w:val="0"/>
              </w:rPr>
            </w:pPr>
            <w:r>
              <w:rPr>
                <w:rFonts w:hint="eastAsia"/>
                <w:spacing w:val="-10"/>
                <w:kern w:val="0"/>
              </w:rPr>
              <w:t>电</w:t>
            </w:r>
          </w:p>
          <w:p w14:paraId="173C1B19">
            <w:pPr>
              <w:jc w:val="center"/>
              <w:rPr>
                <w:spacing w:val="-10"/>
                <w:kern w:val="0"/>
              </w:rPr>
            </w:pPr>
            <w:r>
              <w:rPr>
                <w:rFonts w:hint="eastAsia"/>
                <w:spacing w:val="-10"/>
                <w:kern w:val="0"/>
              </w:rPr>
              <w:t>工</w:t>
            </w:r>
          </w:p>
          <w:p w14:paraId="25E288B5">
            <w:pPr>
              <w:jc w:val="center"/>
              <w:rPr>
                <w:spacing w:val="-10"/>
                <w:kern w:val="0"/>
              </w:rPr>
            </w:pPr>
            <w:r>
              <w:rPr>
                <w:rFonts w:hint="eastAsia"/>
                <w:spacing w:val="-10"/>
                <w:kern w:val="0"/>
              </w:rPr>
              <w:t>技</w:t>
            </w:r>
          </w:p>
          <w:p w14:paraId="5519A7D3">
            <w:pPr>
              <w:jc w:val="center"/>
              <w:rPr>
                <w:spacing w:val="-10"/>
                <w:kern w:val="0"/>
              </w:rPr>
            </w:pPr>
            <w:r>
              <w:rPr>
                <w:rFonts w:hint="eastAsia"/>
                <w:spacing w:val="-10"/>
                <w:kern w:val="0"/>
              </w:rPr>
              <w:t>术</w:t>
            </w:r>
          </w:p>
        </w:tc>
        <w:tc>
          <w:tcPr>
            <w:tcW w:w="936" w:type="dxa"/>
            <w:vMerge w:val="restart"/>
            <w:vAlign w:val="center"/>
          </w:tcPr>
          <w:p w14:paraId="5B562EE4">
            <w:pPr>
              <w:jc w:val="center"/>
              <w:rPr>
                <w:rFonts w:ascii="仿宋" w:hAnsi="仿宋" w:eastAsia="仿宋" w:cs="仿宋"/>
                <w:b/>
                <w:bCs/>
                <w:color w:val="000000" w:themeColor="text1"/>
                <w:szCs w:val="21"/>
                <w14:textFill>
                  <w14:solidFill>
                    <w14:schemeClr w14:val="tx1"/>
                  </w14:solidFill>
                </w14:textFill>
              </w:rPr>
            </w:pPr>
            <w:r>
              <w:rPr>
                <w:rFonts w:hint="eastAsia"/>
                <w:spacing w:val="-10"/>
                <w:kern w:val="0"/>
              </w:rPr>
              <w:t>用电技术</w:t>
            </w:r>
          </w:p>
        </w:tc>
        <w:tc>
          <w:tcPr>
            <w:tcW w:w="983" w:type="dxa"/>
            <w:vAlign w:val="center"/>
          </w:tcPr>
          <w:p w14:paraId="1451C5C2">
            <w:pPr>
              <w:jc w:val="center"/>
              <w:rPr>
                <w:rFonts w:ascii="仿宋" w:hAnsi="仿宋" w:eastAsia="仿宋" w:cs="仿宋"/>
                <w:b/>
                <w:bCs/>
                <w:color w:val="000000" w:themeColor="text1"/>
                <w:szCs w:val="21"/>
                <w14:textFill>
                  <w14:solidFill>
                    <w14:schemeClr w14:val="tx1"/>
                  </w14:solidFill>
                </w14:textFill>
              </w:rPr>
            </w:pPr>
            <w:r>
              <w:rPr>
                <w:rFonts w:hint="eastAsia"/>
                <w:kern w:val="0"/>
              </w:rPr>
              <w:t>电力供电与节约用电</w:t>
            </w:r>
          </w:p>
        </w:tc>
        <w:tc>
          <w:tcPr>
            <w:tcW w:w="2483" w:type="dxa"/>
            <w:vAlign w:val="center"/>
          </w:tcPr>
          <w:p w14:paraId="387E6644">
            <w:pPr>
              <w:pStyle w:val="25"/>
              <w:spacing w:line="320" w:lineRule="exact"/>
              <w:ind w:firstLine="210"/>
              <w:rPr>
                <w:kern w:val="0"/>
              </w:rPr>
            </w:pPr>
            <w:r>
              <w:rPr>
                <w:rFonts w:hint="eastAsia"/>
                <w:kern w:val="0"/>
              </w:rPr>
              <w:t>了解发电、输电和配电过程，了解电力供电的主要方式和特点，了解供配电系统的基本组成；</w:t>
            </w:r>
          </w:p>
          <w:p w14:paraId="201C70A8">
            <w:pPr>
              <w:jc w:val="left"/>
              <w:rPr>
                <w:rFonts w:ascii="仿宋" w:hAnsi="仿宋" w:eastAsia="仿宋" w:cs="仿宋"/>
                <w:color w:val="000000" w:themeColor="text1"/>
                <w:szCs w:val="21"/>
                <w14:textFill>
                  <w14:solidFill>
                    <w14:schemeClr w14:val="tx1"/>
                  </w14:solidFill>
                </w14:textFill>
              </w:rPr>
            </w:pPr>
            <w:r>
              <w:rPr>
                <w:rFonts w:hint="eastAsia"/>
                <w:kern w:val="0"/>
              </w:rPr>
              <w:t>了解节约用电的方式方法，树立节约能源意识</w:t>
            </w:r>
          </w:p>
        </w:tc>
        <w:tc>
          <w:tcPr>
            <w:tcW w:w="1584" w:type="dxa"/>
          </w:tcPr>
          <w:p w14:paraId="4651F2C8">
            <w:pPr>
              <w:jc w:val="center"/>
              <w:rPr>
                <w:rFonts w:ascii="仿宋" w:hAnsi="仿宋" w:eastAsia="仿宋"/>
                <w:color w:val="000000" w:themeColor="text1"/>
                <w:szCs w:val="21"/>
                <w14:textFill>
                  <w14:solidFill>
                    <w14:schemeClr w14:val="tx1"/>
                  </w14:solidFill>
                </w14:textFill>
              </w:rPr>
            </w:pPr>
          </w:p>
        </w:tc>
        <w:tc>
          <w:tcPr>
            <w:tcW w:w="1638" w:type="dxa"/>
            <w:vAlign w:val="center"/>
          </w:tcPr>
          <w:p w14:paraId="7E1A93F3">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培养热爱科学、实事求是的科学态度；养成细心观察、认真探索的学习方法；增强自信心，激发兴趣，培养团结协作的团队精神。</w:t>
            </w:r>
          </w:p>
        </w:tc>
      </w:tr>
      <w:tr w14:paraId="52E33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jc w:val="center"/>
        </w:trPr>
        <w:tc>
          <w:tcPr>
            <w:tcW w:w="898" w:type="dxa"/>
            <w:vMerge w:val="continue"/>
          </w:tcPr>
          <w:p w14:paraId="6F248354">
            <w:pPr>
              <w:jc w:val="center"/>
              <w:rPr>
                <w:rFonts w:ascii="仿宋" w:hAnsi="仿宋" w:eastAsia="仿宋" w:cs="仿宋"/>
                <w:b/>
                <w:bCs/>
                <w:color w:val="000000" w:themeColor="text1"/>
                <w:szCs w:val="21"/>
                <w14:textFill>
                  <w14:solidFill>
                    <w14:schemeClr w14:val="tx1"/>
                  </w14:solidFill>
                </w14:textFill>
              </w:rPr>
            </w:pPr>
          </w:p>
        </w:tc>
        <w:tc>
          <w:tcPr>
            <w:tcW w:w="936" w:type="dxa"/>
            <w:vMerge w:val="continue"/>
            <w:vAlign w:val="center"/>
          </w:tcPr>
          <w:p w14:paraId="247A17BF">
            <w:pPr>
              <w:jc w:val="center"/>
              <w:rPr>
                <w:rFonts w:ascii="仿宋" w:hAnsi="仿宋" w:eastAsia="仿宋" w:cs="仿宋"/>
                <w:b/>
                <w:bCs/>
                <w:color w:val="000000" w:themeColor="text1"/>
                <w:szCs w:val="21"/>
                <w14:textFill>
                  <w14:solidFill>
                    <w14:schemeClr w14:val="tx1"/>
                  </w14:solidFill>
                </w14:textFill>
              </w:rPr>
            </w:pPr>
          </w:p>
        </w:tc>
        <w:tc>
          <w:tcPr>
            <w:tcW w:w="983" w:type="dxa"/>
            <w:vAlign w:val="center"/>
          </w:tcPr>
          <w:p w14:paraId="7AEDC683">
            <w:pPr>
              <w:jc w:val="center"/>
              <w:rPr>
                <w:rFonts w:ascii="仿宋" w:hAnsi="仿宋" w:eastAsia="仿宋" w:cs="仿宋"/>
                <w:b/>
                <w:bCs/>
                <w:color w:val="000000" w:themeColor="text1"/>
                <w:szCs w:val="21"/>
                <w14:textFill>
                  <w14:solidFill>
                    <w14:schemeClr w14:val="tx1"/>
                  </w14:solidFill>
                </w14:textFill>
              </w:rPr>
            </w:pPr>
            <w:r>
              <w:rPr>
                <w:rFonts w:hint="eastAsia"/>
                <w:kern w:val="0"/>
              </w:rPr>
              <w:t>用电保护</w:t>
            </w:r>
          </w:p>
        </w:tc>
        <w:tc>
          <w:tcPr>
            <w:tcW w:w="2483" w:type="dxa"/>
            <w:vAlign w:val="center"/>
          </w:tcPr>
          <w:p w14:paraId="3C11B6D3">
            <w:pPr>
              <w:pStyle w:val="25"/>
              <w:spacing w:line="320" w:lineRule="exact"/>
              <w:ind w:firstLine="210"/>
              <w:rPr>
                <w:kern w:val="0"/>
              </w:rPr>
            </w:pPr>
            <w:r>
              <w:rPr>
                <w:rFonts w:hint="eastAsia"/>
                <w:kern w:val="0"/>
              </w:rPr>
              <w:t>了解保护接地、保护接零的方法和漏电保护器的使用，了解其应用；</w:t>
            </w:r>
          </w:p>
          <w:p w14:paraId="0EE57E6A">
            <w:pPr>
              <w:jc w:val="left"/>
              <w:rPr>
                <w:rFonts w:ascii="仿宋" w:hAnsi="仿宋" w:eastAsia="仿宋" w:cs="仿宋"/>
                <w:color w:val="000000" w:themeColor="text1"/>
                <w:szCs w:val="21"/>
                <w14:textFill>
                  <w14:solidFill>
                    <w14:schemeClr w14:val="tx1"/>
                  </w14:solidFill>
                </w14:textFill>
              </w:rPr>
            </w:pPr>
            <w:r>
              <w:rPr>
                <w:rFonts w:hint="eastAsia"/>
                <w:kern w:val="0"/>
              </w:rPr>
              <w:t>会保护人身与设备安全，防止发生触电事故</w:t>
            </w:r>
          </w:p>
        </w:tc>
        <w:tc>
          <w:tcPr>
            <w:tcW w:w="1584" w:type="dxa"/>
          </w:tcPr>
          <w:p w14:paraId="176E163C">
            <w:pPr>
              <w:jc w:val="center"/>
              <w:rPr>
                <w:rFonts w:ascii="仿宋" w:hAnsi="仿宋" w:eastAsia="仿宋"/>
                <w:color w:val="000000" w:themeColor="text1"/>
                <w:szCs w:val="21"/>
                <w14:textFill>
                  <w14:solidFill>
                    <w14:schemeClr w14:val="tx1"/>
                  </w14:solidFill>
                </w14:textFill>
              </w:rPr>
            </w:pPr>
          </w:p>
        </w:tc>
        <w:tc>
          <w:tcPr>
            <w:tcW w:w="1638" w:type="dxa"/>
            <w:vAlign w:val="center"/>
          </w:tcPr>
          <w:p w14:paraId="152F4E80">
            <w:pPr>
              <w:jc w:val="center"/>
              <w:rPr>
                <w:rFonts w:ascii="仿宋" w:hAnsi="仿宋" w:eastAsia="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培养热爱科学、实事求是的科学态度；养成细心观察、认真探索的学习方法；增强自信心，激发兴趣；培养精益求精工匠精神。</w:t>
            </w:r>
          </w:p>
        </w:tc>
      </w:tr>
      <w:tr w14:paraId="510DA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jc w:val="center"/>
        </w:trPr>
        <w:tc>
          <w:tcPr>
            <w:tcW w:w="898" w:type="dxa"/>
            <w:vMerge w:val="continue"/>
          </w:tcPr>
          <w:p w14:paraId="358F9837">
            <w:pPr>
              <w:jc w:val="center"/>
              <w:rPr>
                <w:kern w:val="0"/>
              </w:rPr>
            </w:pPr>
          </w:p>
        </w:tc>
        <w:tc>
          <w:tcPr>
            <w:tcW w:w="936" w:type="dxa"/>
            <w:vMerge w:val="restart"/>
            <w:vAlign w:val="center"/>
          </w:tcPr>
          <w:p w14:paraId="4E839D38">
            <w:pPr>
              <w:jc w:val="center"/>
              <w:rPr>
                <w:rFonts w:ascii="仿宋" w:hAnsi="仿宋" w:eastAsia="仿宋" w:cs="仿宋"/>
                <w:b/>
                <w:bCs/>
                <w:color w:val="000000" w:themeColor="text1"/>
                <w:szCs w:val="21"/>
                <w14:textFill>
                  <w14:solidFill>
                    <w14:schemeClr w14:val="tx1"/>
                  </w14:solidFill>
                </w14:textFill>
              </w:rPr>
            </w:pPr>
            <w:r>
              <w:rPr>
                <w:rFonts w:hint="eastAsia"/>
                <w:kern w:val="0"/>
              </w:rPr>
              <w:t>常用电器</w:t>
            </w:r>
          </w:p>
        </w:tc>
        <w:tc>
          <w:tcPr>
            <w:tcW w:w="983" w:type="dxa"/>
            <w:vAlign w:val="center"/>
          </w:tcPr>
          <w:p w14:paraId="2A3359EB">
            <w:pPr>
              <w:jc w:val="center"/>
              <w:rPr>
                <w:rFonts w:ascii="仿宋" w:hAnsi="仿宋" w:eastAsia="仿宋" w:cs="仿宋"/>
                <w:b/>
                <w:bCs/>
                <w:color w:val="000000" w:themeColor="text1"/>
                <w:szCs w:val="21"/>
                <w14:textFill>
                  <w14:solidFill>
                    <w14:schemeClr w14:val="tx1"/>
                  </w14:solidFill>
                </w14:textFill>
              </w:rPr>
            </w:pPr>
            <w:r>
              <w:rPr>
                <w:rFonts w:hint="eastAsia"/>
                <w:kern w:val="0"/>
              </w:rPr>
              <w:t>照明灯具</w:t>
            </w:r>
          </w:p>
        </w:tc>
        <w:tc>
          <w:tcPr>
            <w:tcW w:w="2483" w:type="dxa"/>
            <w:vAlign w:val="center"/>
          </w:tcPr>
          <w:p w14:paraId="0F0D476B">
            <w:pPr>
              <w:jc w:val="left"/>
              <w:rPr>
                <w:rFonts w:ascii="仿宋" w:hAnsi="仿宋" w:eastAsia="仿宋" w:cs="仿宋"/>
                <w:color w:val="000000" w:themeColor="text1"/>
                <w:szCs w:val="21"/>
                <w14:textFill>
                  <w14:solidFill>
                    <w14:schemeClr w14:val="tx1"/>
                  </w14:solidFill>
                </w14:textFill>
              </w:rPr>
            </w:pPr>
            <w:r>
              <w:rPr>
                <w:rFonts w:hint="eastAsia"/>
                <w:kern w:val="0"/>
              </w:rPr>
              <w:t>了解常见照明灯具，了解节能新型电光源及其应用，会根据照明需要，合理选用灯具</w:t>
            </w:r>
          </w:p>
        </w:tc>
        <w:tc>
          <w:tcPr>
            <w:tcW w:w="1584" w:type="dxa"/>
          </w:tcPr>
          <w:p w14:paraId="438C5854">
            <w:pPr>
              <w:jc w:val="center"/>
              <w:rPr>
                <w:rFonts w:ascii="仿宋" w:hAnsi="仿宋" w:eastAsia="仿宋" w:cs="仿宋"/>
                <w:color w:val="000000" w:themeColor="text1"/>
                <w:szCs w:val="21"/>
                <w14:textFill>
                  <w14:solidFill>
                    <w14:schemeClr w14:val="tx1"/>
                  </w14:solidFill>
                </w14:textFill>
              </w:rPr>
            </w:pPr>
          </w:p>
        </w:tc>
        <w:tc>
          <w:tcPr>
            <w:tcW w:w="1638" w:type="dxa"/>
            <w:vAlign w:val="center"/>
          </w:tcPr>
          <w:p w14:paraId="1B2BB9A5">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培养热爱科学、实事求是的科学态度；养成细心观察、认真探索的学习方法；增强自信心，激发兴趣；培养精益求精工匠精神。</w:t>
            </w:r>
          </w:p>
          <w:p w14:paraId="0B798C72">
            <w:pPr>
              <w:jc w:val="center"/>
              <w:rPr>
                <w:rFonts w:ascii="仿宋" w:hAnsi="仿宋" w:eastAsia="仿宋" w:cs="仿宋"/>
                <w:color w:val="000000" w:themeColor="text1"/>
                <w:szCs w:val="21"/>
                <w14:textFill>
                  <w14:solidFill>
                    <w14:schemeClr w14:val="tx1"/>
                  </w14:solidFill>
                </w14:textFill>
              </w:rPr>
            </w:pPr>
          </w:p>
        </w:tc>
      </w:tr>
      <w:tr w14:paraId="5FDE1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jc w:val="center"/>
        </w:trPr>
        <w:tc>
          <w:tcPr>
            <w:tcW w:w="898" w:type="dxa"/>
            <w:vMerge w:val="continue"/>
          </w:tcPr>
          <w:p w14:paraId="09D1B883">
            <w:pPr>
              <w:jc w:val="center"/>
              <w:rPr>
                <w:rFonts w:ascii="仿宋" w:hAnsi="仿宋" w:eastAsia="仿宋" w:cs="仿宋"/>
                <w:b/>
                <w:bCs/>
                <w:color w:val="000000" w:themeColor="text1"/>
                <w:szCs w:val="21"/>
                <w14:textFill>
                  <w14:solidFill>
                    <w14:schemeClr w14:val="tx1"/>
                  </w14:solidFill>
                </w14:textFill>
              </w:rPr>
            </w:pPr>
          </w:p>
        </w:tc>
        <w:tc>
          <w:tcPr>
            <w:tcW w:w="936" w:type="dxa"/>
            <w:vMerge w:val="continue"/>
            <w:vAlign w:val="center"/>
          </w:tcPr>
          <w:p w14:paraId="5502112E">
            <w:pPr>
              <w:jc w:val="center"/>
              <w:rPr>
                <w:rFonts w:ascii="仿宋" w:hAnsi="仿宋" w:eastAsia="仿宋" w:cs="仿宋"/>
                <w:b/>
                <w:bCs/>
                <w:color w:val="000000" w:themeColor="text1"/>
                <w:szCs w:val="21"/>
                <w14:textFill>
                  <w14:solidFill>
                    <w14:schemeClr w14:val="tx1"/>
                  </w14:solidFill>
                </w14:textFill>
              </w:rPr>
            </w:pPr>
          </w:p>
        </w:tc>
        <w:tc>
          <w:tcPr>
            <w:tcW w:w="983" w:type="dxa"/>
            <w:vAlign w:val="center"/>
          </w:tcPr>
          <w:p w14:paraId="4B59F78A">
            <w:pPr>
              <w:jc w:val="center"/>
              <w:rPr>
                <w:rFonts w:ascii="仿宋" w:hAnsi="仿宋" w:eastAsia="仿宋" w:cs="仿宋"/>
                <w:b/>
                <w:bCs/>
                <w:color w:val="000000" w:themeColor="text1"/>
                <w:szCs w:val="21"/>
                <w14:textFill>
                  <w14:solidFill>
                    <w14:schemeClr w14:val="tx1"/>
                  </w14:solidFill>
                </w14:textFill>
              </w:rPr>
            </w:pPr>
            <w:r>
              <w:rPr>
                <w:rFonts w:hint="eastAsia"/>
                <w:kern w:val="0"/>
              </w:rPr>
              <w:t>变压器</w:t>
            </w:r>
          </w:p>
        </w:tc>
        <w:tc>
          <w:tcPr>
            <w:tcW w:w="2483" w:type="dxa"/>
            <w:vAlign w:val="center"/>
          </w:tcPr>
          <w:p w14:paraId="3A4D2CF8">
            <w:pPr>
              <w:pStyle w:val="25"/>
              <w:spacing w:line="320" w:lineRule="exact"/>
              <w:ind w:firstLine="210"/>
            </w:pPr>
            <w:r>
              <w:rPr>
                <w:rFonts w:hint="eastAsia"/>
                <w:kern w:val="0"/>
              </w:rPr>
              <w:t>结合实物，了解单相变压器的基本结构、额定值及用途；</w:t>
            </w:r>
          </w:p>
          <w:p w14:paraId="3DC30B3F">
            <w:pPr>
              <w:pStyle w:val="25"/>
              <w:spacing w:line="320" w:lineRule="exact"/>
              <w:ind w:firstLine="210"/>
              <w:rPr>
                <w:kern w:val="0"/>
              </w:rPr>
            </w:pPr>
            <w:r>
              <w:rPr>
                <w:rFonts w:hint="eastAsia"/>
                <w:kern w:val="0"/>
              </w:rPr>
              <w:t>理解变压器的工作原理及变压比、变流比的概念；</w:t>
            </w:r>
          </w:p>
          <w:p w14:paraId="557A3D34">
            <w:pPr>
              <w:jc w:val="left"/>
              <w:rPr>
                <w:rFonts w:ascii="仿宋" w:hAnsi="仿宋" w:eastAsia="仿宋" w:cs="仿宋"/>
                <w:color w:val="000000" w:themeColor="text1"/>
                <w:szCs w:val="21"/>
                <w14:textFill>
                  <w14:solidFill>
                    <w14:schemeClr w14:val="tx1"/>
                  </w14:solidFill>
                </w14:textFill>
              </w:rPr>
            </w:pPr>
            <w:r>
              <w:rPr>
                <w:rFonts w:hint="eastAsia"/>
                <w:kern w:val="0"/>
              </w:rPr>
              <w:t>了解变压器的外特性、损耗及效率</w:t>
            </w:r>
          </w:p>
        </w:tc>
        <w:tc>
          <w:tcPr>
            <w:tcW w:w="1584" w:type="dxa"/>
          </w:tcPr>
          <w:p w14:paraId="09D06956">
            <w:pPr>
              <w:jc w:val="center"/>
              <w:rPr>
                <w:rFonts w:ascii="仿宋" w:hAnsi="仿宋" w:eastAsia="仿宋" w:cs="仿宋"/>
                <w:color w:val="000000" w:themeColor="text1"/>
                <w:szCs w:val="21"/>
                <w14:textFill>
                  <w14:solidFill>
                    <w14:schemeClr w14:val="tx1"/>
                  </w14:solidFill>
                </w14:textFill>
              </w:rPr>
            </w:pPr>
          </w:p>
        </w:tc>
        <w:tc>
          <w:tcPr>
            <w:tcW w:w="1638" w:type="dxa"/>
            <w:vAlign w:val="center"/>
          </w:tcPr>
          <w:p w14:paraId="4D8AC616">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培养热爱科学、实事求是的科学态度；养成细心观察、认真探索的学习方法；增强自信心，激发兴趣。</w:t>
            </w:r>
          </w:p>
        </w:tc>
      </w:tr>
      <w:tr w14:paraId="0C8264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jc w:val="center"/>
        </w:trPr>
        <w:tc>
          <w:tcPr>
            <w:tcW w:w="898" w:type="dxa"/>
            <w:vMerge w:val="continue"/>
          </w:tcPr>
          <w:p w14:paraId="142D1F84">
            <w:pPr>
              <w:jc w:val="center"/>
              <w:rPr>
                <w:rFonts w:ascii="仿宋" w:hAnsi="仿宋" w:eastAsia="仿宋" w:cs="仿宋"/>
                <w:b/>
                <w:bCs/>
                <w:color w:val="000000" w:themeColor="text1"/>
                <w:szCs w:val="21"/>
                <w14:textFill>
                  <w14:solidFill>
                    <w14:schemeClr w14:val="tx1"/>
                  </w14:solidFill>
                </w14:textFill>
              </w:rPr>
            </w:pPr>
          </w:p>
        </w:tc>
        <w:tc>
          <w:tcPr>
            <w:tcW w:w="936" w:type="dxa"/>
            <w:vMerge w:val="continue"/>
            <w:vAlign w:val="center"/>
          </w:tcPr>
          <w:p w14:paraId="216F96C8">
            <w:pPr>
              <w:jc w:val="center"/>
              <w:rPr>
                <w:rFonts w:ascii="仿宋" w:hAnsi="仿宋" w:eastAsia="仿宋" w:cs="仿宋"/>
                <w:b/>
                <w:bCs/>
                <w:color w:val="000000" w:themeColor="text1"/>
                <w:szCs w:val="21"/>
                <w14:textFill>
                  <w14:solidFill>
                    <w14:schemeClr w14:val="tx1"/>
                  </w14:solidFill>
                </w14:textFill>
              </w:rPr>
            </w:pPr>
          </w:p>
        </w:tc>
        <w:tc>
          <w:tcPr>
            <w:tcW w:w="983" w:type="dxa"/>
            <w:vAlign w:val="center"/>
          </w:tcPr>
          <w:p w14:paraId="50F843E8">
            <w:pPr>
              <w:jc w:val="center"/>
              <w:rPr>
                <w:rFonts w:ascii="仿宋" w:hAnsi="仿宋" w:eastAsia="仿宋" w:cs="仿宋"/>
                <w:b/>
                <w:bCs/>
                <w:color w:val="000000" w:themeColor="text1"/>
                <w:szCs w:val="21"/>
                <w14:textFill>
                  <w14:solidFill>
                    <w14:schemeClr w14:val="tx1"/>
                  </w14:solidFill>
                </w14:textFill>
              </w:rPr>
            </w:pPr>
            <w:r>
              <w:rPr>
                <w:rFonts w:hint="eastAsia"/>
                <w:kern w:val="0"/>
              </w:rPr>
              <w:t>交流电动机</w:t>
            </w:r>
          </w:p>
        </w:tc>
        <w:tc>
          <w:tcPr>
            <w:tcW w:w="2483" w:type="dxa"/>
            <w:vAlign w:val="center"/>
          </w:tcPr>
          <w:p w14:paraId="7AEF41E2">
            <w:pPr>
              <w:pStyle w:val="25"/>
              <w:spacing w:line="320" w:lineRule="exact"/>
              <w:ind w:firstLine="218"/>
              <w:rPr>
                <w:kern w:val="0"/>
              </w:rPr>
            </w:pPr>
            <w:r>
              <w:rPr>
                <w:rFonts w:hint="eastAsia"/>
                <w:spacing w:val="4"/>
                <w:kern w:val="0"/>
              </w:rPr>
              <w:t>结合实物，了解三相笼型交流异步电动机的基本结构和铭牌参数</w:t>
            </w:r>
            <w:r>
              <w:rPr>
                <w:rFonts w:hint="eastAsia"/>
                <w:kern w:val="0"/>
              </w:rPr>
              <w:t>；</w:t>
            </w:r>
          </w:p>
          <w:p w14:paraId="47BF729D">
            <w:pPr>
              <w:pStyle w:val="25"/>
              <w:spacing w:line="320" w:lineRule="exact"/>
              <w:ind w:firstLine="218"/>
              <w:rPr>
                <w:spacing w:val="4"/>
              </w:rPr>
            </w:pPr>
            <w:r>
              <w:rPr>
                <w:rFonts w:hint="eastAsia"/>
                <w:spacing w:val="4"/>
              </w:rPr>
              <w:t>通过多媒体演示等方式，了解旋转磁场的产生与转子转动的原理；</w:t>
            </w:r>
            <w:r>
              <w:rPr>
                <w:rFonts w:hint="eastAsia"/>
                <w:spacing w:val="4"/>
                <w:kern w:val="0"/>
              </w:rPr>
              <w:t xml:space="preserve">     </w:t>
            </w:r>
          </w:p>
          <w:p w14:paraId="5F51FF89">
            <w:pPr>
              <w:jc w:val="left"/>
              <w:rPr>
                <w:rFonts w:ascii="仿宋" w:hAnsi="仿宋" w:eastAsia="仿宋" w:cs="仿宋"/>
                <w:color w:val="000000" w:themeColor="text1"/>
                <w:szCs w:val="21"/>
                <w14:textFill>
                  <w14:solidFill>
                    <w14:schemeClr w14:val="tx1"/>
                  </w14:solidFill>
                </w14:textFill>
              </w:rPr>
            </w:pPr>
            <w:r>
              <w:rPr>
                <w:rFonts w:hint="eastAsia"/>
                <w:kern w:val="0"/>
              </w:rPr>
              <w:t>理解三相异步电动机的机械特性的含义</w:t>
            </w:r>
          </w:p>
        </w:tc>
        <w:tc>
          <w:tcPr>
            <w:tcW w:w="1584" w:type="dxa"/>
          </w:tcPr>
          <w:p w14:paraId="28275BCB">
            <w:pPr>
              <w:jc w:val="center"/>
              <w:rPr>
                <w:rFonts w:ascii="仿宋" w:hAnsi="仿宋" w:eastAsia="仿宋" w:cs="仿宋"/>
                <w:color w:val="000000" w:themeColor="text1"/>
                <w:szCs w:val="21"/>
                <w14:textFill>
                  <w14:solidFill>
                    <w14:schemeClr w14:val="tx1"/>
                  </w14:solidFill>
                </w14:textFill>
              </w:rPr>
            </w:pPr>
          </w:p>
        </w:tc>
        <w:tc>
          <w:tcPr>
            <w:tcW w:w="1638" w:type="dxa"/>
            <w:vAlign w:val="center"/>
          </w:tcPr>
          <w:p w14:paraId="67C505F5">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培养热爱科学、实事求是的科学态度；养成细心观察、认真探索的学习方法；增强自信心，激发兴趣。</w:t>
            </w:r>
          </w:p>
        </w:tc>
      </w:tr>
      <w:tr w14:paraId="36886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3" w:hRule="atLeast"/>
          <w:jc w:val="center"/>
        </w:trPr>
        <w:tc>
          <w:tcPr>
            <w:tcW w:w="898" w:type="dxa"/>
            <w:vMerge w:val="continue"/>
          </w:tcPr>
          <w:p w14:paraId="118D675A">
            <w:pPr>
              <w:jc w:val="center"/>
              <w:rPr>
                <w:rFonts w:ascii="仿宋" w:hAnsi="仿宋" w:eastAsia="仿宋" w:cs="仿宋"/>
                <w:b/>
                <w:bCs/>
                <w:color w:val="000000" w:themeColor="text1"/>
                <w:szCs w:val="21"/>
                <w14:textFill>
                  <w14:solidFill>
                    <w14:schemeClr w14:val="tx1"/>
                  </w14:solidFill>
                </w14:textFill>
              </w:rPr>
            </w:pPr>
          </w:p>
        </w:tc>
        <w:tc>
          <w:tcPr>
            <w:tcW w:w="936" w:type="dxa"/>
            <w:vMerge w:val="continue"/>
            <w:vAlign w:val="center"/>
          </w:tcPr>
          <w:p w14:paraId="19B97AF9">
            <w:pPr>
              <w:jc w:val="center"/>
              <w:rPr>
                <w:rFonts w:ascii="仿宋" w:hAnsi="仿宋" w:eastAsia="仿宋" w:cs="仿宋"/>
                <w:b/>
                <w:bCs/>
                <w:color w:val="000000" w:themeColor="text1"/>
                <w:szCs w:val="21"/>
                <w14:textFill>
                  <w14:solidFill>
                    <w14:schemeClr w14:val="tx1"/>
                  </w14:solidFill>
                </w14:textFill>
              </w:rPr>
            </w:pPr>
          </w:p>
        </w:tc>
        <w:tc>
          <w:tcPr>
            <w:tcW w:w="983" w:type="dxa"/>
            <w:vAlign w:val="center"/>
          </w:tcPr>
          <w:p w14:paraId="7BAF55A1">
            <w:pPr>
              <w:jc w:val="center"/>
              <w:rPr>
                <w:rFonts w:ascii="仿宋" w:hAnsi="仿宋" w:eastAsia="仿宋" w:cs="仿宋"/>
                <w:b/>
                <w:bCs/>
                <w:color w:val="000000" w:themeColor="text1"/>
                <w:szCs w:val="21"/>
                <w14:textFill>
                  <w14:solidFill>
                    <w14:schemeClr w14:val="tx1"/>
                  </w14:solidFill>
                </w14:textFill>
              </w:rPr>
            </w:pPr>
            <w:r>
              <w:rPr>
                <w:rFonts w:hint="eastAsia"/>
                <w:kern w:val="0"/>
              </w:rPr>
              <w:t>常用低压电器</w:t>
            </w:r>
          </w:p>
        </w:tc>
        <w:tc>
          <w:tcPr>
            <w:tcW w:w="2483" w:type="dxa"/>
            <w:vAlign w:val="center"/>
          </w:tcPr>
          <w:p w14:paraId="0E3BA67F">
            <w:pPr>
              <w:pStyle w:val="25"/>
              <w:spacing w:line="320" w:lineRule="exact"/>
              <w:ind w:firstLine="210"/>
            </w:pPr>
            <w:r>
              <w:rPr>
                <w:rFonts w:hint="eastAsia"/>
                <w:kern w:val="0"/>
              </w:rPr>
              <w:t>了解常用低压电器的分类、符号；</w:t>
            </w:r>
          </w:p>
          <w:p w14:paraId="10750404">
            <w:pPr>
              <w:jc w:val="left"/>
              <w:rPr>
                <w:rFonts w:ascii="仿宋" w:hAnsi="仿宋" w:eastAsia="仿宋" w:cs="仿宋"/>
                <w:color w:val="000000" w:themeColor="text1"/>
                <w:szCs w:val="21"/>
                <w14:textFill>
                  <w14:solidFill>
                    <w14:schemeClr w14:val="tx1"/>
                  </w14:solidFill>
                </w14:textFill>
              </w:rPr>
            </w:pPr>
            <w:r>
              <w:rPr>
                <w:rFonts w:hint="eastAsia"/>
                <w:kern w:val="0"/>
              </w:rPr>
              <w:t>结合实物，了解熔断器、电源开关、交流接触器、主令电器、继电器等常用低压电器的结构、工作原理及应用场合，会根据工作场所合理选用</w:t>
            </w:r>
          </w:p>
        </w:tc>
        <w:tc>
          <w:tcPr>
            <w:tcW w:w="1584" w:type="dxa"/>
          </w:tcPr>
          <w:p w14:paraId="5F659937">
            <w:pPr>
              <w:jc w:val="center"/>
              <w:rPr>
                <w:rFonts w:ascii="仿宋" w:hAnsi="仿宋" w:eastAsia="仿宋" w:cs="仿宋"/>
                <w:color w:val="000000" w:themeColor="text1"/>
                <w:szCs w:val="21"/>
                <w14:textFill>
                  <w14:solidFill>
                    <w14:schemeClr w14:val="tx1"/>
                  </w14:solidFill>
                </w14:textFill>
              </w:rPr>
            </w:pPr>
          </w:p>
        </w:tc>
        <w:tc>
          <w:tcPr>
            <w:tcW w:w="1638" w:type="dxa"/>
            <w:vAlign w:val="center"/>
          </w:tcPr>
          <w:p w14:paraId="7427D0F6">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培养热爱科学、实事求是的科学态度；养成细心观察、认真探索的学习方法；增强自信心，激发兴趣。</w:t>
            </w:r>
          </w:p>
        </w:tc>
      </w:tr>
      <w:tr w14:paraId="045D81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898" w:type="dxa"/>
            <w:vMerge w:val="continue"/>
          </w:tcPr>
          <w:p w14:paraId="5B88A703">
            <w:pPr>
              <w:jc w:val="center"/>
              <w:rPr>
                <w:kern w:val="0"/>
              </w:rPr>
            </w:pPr>
          </w:p>
        </w:tc>
        <w:tc>
          <w:tcPr>
            <w:tcW w:w="936" w:type="dxa"/>
            <w:vMerge w:val="restart"/>
            <w:vAlign w:val="center"/>
          </w:tcPr>
          <w:p w14:paraId="1E6838ED">
            <w:pPr>
              <w:jc w:val="center"/>
              <w:rPr>
                <w:rFonts w:ascii="仿宋" w:hAnsi="仿宋" w:eastAsia="仿宋" w:cs="仿宋"/>
                <w:b/>
                <w:bCs/>
                <w:color w:val="000000" w:themeColor="text1"/>
                <w:szCs w:val="21"/>
                <w14:textFill>
                  <w14:solidFill>
                    <w14:schemeClr w14:val="tx1"/>
                  </w14:solidFill>
                </w14:textFill>
              </w:rPr>
            </w:pPr>
            <w:r>
              <w:rPr>
                <w:rFonts w:hint="eastAsia"/>
                <w:kern w:val="0"/>
              </w:rPr>
              <w:t>三相异步电动机的基本控制</w:t>
            </w:r>
          </w:p>
        </w:tc>
        <w:tc>
          <w:tcPr>
            <w:tcW w:w="983" w:type="dxa"/>
            <w:vAlign w:val="center"/>
          </w:tcPr>
          <w:p w14:paraId="1F5CA12F">
            <w:pPr>
              <w:jc w:val="center"/>
              <w:rPr>
                <w:rFonts w:ascii="仿宋" w:hAnsi="仿宋" w:eastAsia="仿宋" w:cs="仿宋"/>
                <w:b/>
                <w:bCs/>
                <w:color w:val="000000" w:themeColor="text1"/>
                <w:szCs w:val="21"/>
                <w14:textFill>
                  <w14:solidFill>
                    <w14:schemeClr w14:val="tx1"/>
                  </w14:solidFill>
                </w14:textFill>
              </w:rPr>
            </w:pPr>
            <w:r>
              <w:rPr>
                <w:rFonts w:hint="eastAsia"/>
                <w:kern w:val="0"/>
              </w:rPr>
              <w:t>起动控制</w:t>
            </w:r>
          </w:p>
        </w:tc>
        <w:tc>
          <w:tcPr>
            <w:tcW w:w="2483" w:type="dxa"/>
            <w:vAlign w:val="center"/>
          </w:tcPr>
          <w:p w14:paraId="3FA04DAF">
            <w:pPr>
              <w:jc w:val="left"/>
              <w:rPr>
                <w:rFonts w:ascii="仿宋" w:hAnsi="仿宋" w:eastAsia="仿宋" w:cs="仿宋"/>
                <w:color w:val="000000" w:themeColor="text1"/>
                <w:szCs w:val="21"/>
                <w14:textFill>
                  <w14:solidFill>
                    <w14:schemeClr w14:val="tx1"/>
                  </w14:solidFill>
                </w14:textFill>
              </w:rPr>
            </w:pPr>
            <w:r>
              <w:rPr>
                <w:rFonts w:hint="eastAsia"/>
                <w:kern w:val="0"/>
              </w:rPr>
              <w:t>了解三相异步电动机直接起动控制及单向点动与连续控制线路的组成和工作原理</w:t>
            </w:r>
          </w:p>
        </w:tc>
        <w:tc>
          <w:tcPr>
            <w:tcW w:w="1584" w:type="dxa"/>
          </w:tcPr>
          <w:p w14:paraId="25E52457">
            <w:pPr>
              <w:jc w:val="center"/>
              <w:rPr>
                <w:rFonts w:ascii="仿宋" w:hAnsi="仿宋" w:eastAsia="仿宋" w:cs="仿宋"/>
                <w:color w:val="000000" w:themeColor="text1"/>
                <w:szCs w:val="21"/>
                <w14:textFill>
                  <w14:solidFill>
                    <w14:schemeClr w14:val="tx1"/>
                  </w14:solidFill>
                </w14:textFill>
              </w:rPr>
            </w:pPr>
          </w:p>
        </w:tc>
        <w:tc>
          <w:tcPr>
            <w:tcW w:w="1638" w:type="dxa"/>
            <w:vAlign w:val="center"/>
          </w:tcPr>
          <w:p w14:paraId="03D1029A">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培养热爱科学、实事求是的科学态度；养成细心观察、认真探索的学习方法；增强自信心，激发兴趣。</w:t>
            </w:r>
          </w:p>
        </w:tc>
      </w:tr>
      <w:tr w14:paraId="7606D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9" w:hRule="atLeast"/>
          <w:jc w:val="center"/>
        </w:trPr>
        <w:tc>
          <w:tcPr>
            <w:tcW w:w="898" w:type="dxa"/>
            <w:vMerge w:val="continue"/>
          </w:tcPr>
          <w:p w14:paraId="4264BCD3">
            <w:pPr>
              <w:jc w:val="center"/>
              <w:rPr>
                <w:rFonts w:ascii="仿宋" w:hAnsi="仿宋" w:eastAsia="仿宋" w:cs="仿宋"/>
                <w:b/>
                <w:bCs/>
                <w:color w:val="000000" w:themeColor="text1"/>
                <w:szCs w:val="21"/>
                <w14:textFill>
                  <w14:solidFill>
                    <w14:schemeClr w14:val="tx1"/>
                  </w14:solidFill>
                </w14:textFill>
              </w:rPr>
            </w:pPr>
          </w:p>
        </w:tc>
        <w:tc>
          <w:tcPr>
            <w:tcW w:w="936" w:type="dxa"/>
            <w:vMerge w:val="continue"/>
            <w:vAlign w:val="center"/>
          </w:tcPr>
          <w:p w14:paraId="4D7C5971">
            <w:pPr>
              <w:jc w:val="center"/>
              <w:rPr>
                <w:rFonts w:ascii="仿宋" w:hAnsi="仿宋" w:eastAsia="仿宋" w:cs="仿宋"/>
                <w:b/>
                <w:bCs/>
                <w:color w:val="000000" w:themeColor="text1"/>
                <w:szCs w:val="21"/>
                <w14:textFill>
                  <w14:solidFill>
                    <w14:schemeClr w14:val="tx1"/>
                  </w14:solidFill>
                </w14:textFill>
              </w:rPr>
            </w:pPr>
          </w:p>
        </w:tc>
        <w:tc>
          <w:tcPr>
            <w:tcW w:w="983" w:type="dxa"/>
            <w:vAlign w:val="center"/>
          </w:tcPr>
          <w:p w14:paraId="3680131A">
            <w:pPr>
              <w:jc w:val="center"/>
              <w:rPr>
                <w:rFonts w:ascii="仿宋" w:hAnsi="仿宋" w:eastAsia="仿宋" w:cs="仿宋"/>
                <w:b/>
                <w:bCs/>
                <w:color w:val="000000" w:themeColor="text1"/>
                <w:szCs w:val="21"/>
                <w14:textFill>
                  <w14:solidFill>
                    <w14:schemeClr w14:val="tx1"/>
                  </w14:solidFill>
                </w14:textFill>
              </w:rPr>
            </w:pPr>
            <w:r>
              <w:rPr>
                <w:rFonts w:hint="eastAsia"/>
                <w:kern w:val="0"/>
              </w:rPr>
              <w:t>正反转控制</w:t>
            </w:r>
          </w:p>
        </w:tc>
        <w:tc>
          <w:tcPr>
            <w:tcW w:w="2483" w:type="dxa"/>
            <w:vAlign w:val="center"/>
          </w:tcPr>
          <w:p w14:paraId="6A69981F">
            <w:pPr>
              <w:jc w:val="left"/>
              <w:rPr>
                <w:rFonts w:ascii="仿宋" w:hAnsi="仿宋" w:eastAsia="仿宋" w:cs="仿宋"/>
                <w:color w:val="000000" w:themeColor="text1"/>
                <w:szCs w:val="21"/>
                <w14:textFill>
                  <w14:solidFill>
                    <w14:schemeClr w14:val="tx1"/>
                  </w14:solidFill>
                </w14:textFill>
              </w:rPr>
            </w:pPr>
            <w:r>
              <w:rPr>
                <w:rFonts w:hint="eastAsia"/>
                <w:kern w:val="0"/>
              </w:rPr>
              <w:t>了解三相异步电动机接触器互锁正反转控制电路的组成和工作原理</w:t>
            </w:r>
          </w:p>
        </w:tc>
        <w:tc>
          <w:tcPr>
            <w:tcW w:w="1584" w:type="dxa"/>
          </w:tcPr>
          <w:p w14:paraId="0E4B206D">
            <w:pPr>
              <w:jc w:val="center"/>
              <w:rPr>
                <w:rFonts w:ascii="仿宋" w:hAnsi="仿宋" w:eastAsia="仿宋" w:cs="仿宋"/>
                <w:color w:val="000000" w:themeColor="text1"/>
                <w:szCs w:val="21"/>
                <w14:textFill>
                  <w14:solidFill>
                    <w14:schemeClr w14:val="tx1"/>
                  </w14:solidFill>
                </w14:textFill>
              </w:rPr>
            </w:pPr>
          </w:p>
        </w:tc>
        <w:tc>
          <w:tcPr>
            <w:tcW w:w="1638" w:type="dxa"/>
            <w:vAlign w:val="center"/>
          </w:tcPr>
          <w:p w14:paraId="6FFDC8A2">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培养热爱科学、实事求是的科学态度；养成细心观察、认真探索的学习方法；增强自信心，激发兴趣。</w:t>
            </w:r>
          </w:p>
        </w:tc>
      </w:tr>
      <w:tr w14:paraId="0D966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8" w:hRule="atLeast"/>
          <w:jc w:val="center"/>
        </w:trPr>
        <w:tc>
          <w:tcPr>
            <w:tcW w:w="898" w:type="dxa"/>
            <w:vMerge w:val="continue"/>
          </w:tcPr>
          <w:p w14:paraId="56573A53">
            <w:pPr>
              <w:jc w:val="center"/>
              <w:rPr>
                <w:rFonts w:ascii="仿宋" w:hAnsi="仿宋" w:eastAsia="仿宋" w:cs="仿宋"/>
                <w:b/>
                <w:bCs/>
                <w:color w:val="000000" w:themeColor="text1"/>
                <w:szCs w:val="21"/>
                <w14:textFill>
                  <w14:solidFill>
                    <w14:schemeClr w14:val="tx1"/>
                  </w14:solidFill>
                </w14:textFill>
              </w:rPr>
            </w:pPr>
          </w:p>
        </w:tc>
        <w:tc>
          <w:tcPr>
            <w:tcW w:w="936" w:type="dxa"/>
            <w:vMerge w:val="continue"/>
            <w:vAlign w:val="center"/>
          </w:tcPr>
          <w:p w14:paraId="0904DB05">
            <w:pPr>
              <w:jc w:val="center"/>
              <w:rPr>
                <w:rFonts w:ascii="仿宋" w:hAnsi="仿宋" w:eastAsia="仿宋" w:cs="仿宋"/>
                <w:b/>
                <w:bCs/>
                <w:color w:val="000000" w:themeColor="text1"/>
                <w:szCs w:val="21"/>
                <w14:textFill>
                  <w14:solidFill>
                    <w14:schemeClr w14:val="tx1"/>
                  </w14:solidFill>
                </w14:textFill>
              </w:rPr>
            </w:pPr>
          </w:p>
        </w:tc>
        <w:tc>
          <w:tcPr>
            <w:tcW w:w="983" w:type="dxa"/>
            <w:vAlign w:val="center"/>
          </w:tcPr>
          <w:p w14:paraId="1A52FF13">
            <w:pPr>
              <w:jc w:val="center"/>
              <w:rPr>
                <w:rFonts w:ascii="仿宋" w:hAnsi="仿宋" w:eastAsia="仿宋" w:cs="仿宋"/>
                <w:b/>
                <w:bCs/>
                <w:color w:val="000000" w:themeColor="text1"/>
                <w:szCs w:val="21"/>
                <w14:textFill>
                  <w14:solidFill>
                    <w14:schemeClr w14:val="tx1"/>
                  </w14:solidFill>
                </w14:textFill>
              </w:rPr>
            </w:pPr>
            <w:r>
              <w:rPr>
                <w:rFonts w:hint="eastAsia"/>
                <w:kern w:val="0"/>
              </w:rPr>
              <w:t>实训项目</w:t>
            </w:r>
          </w:p>
        </w:tc>
        <w:tc>
          <w:tcPr>
            <w:tcW w:w="2483" w:type="dxa"/>
            <w:vAlign w:val="center"/>
          </w:tcPr>
          <w:p w14:paraId="16D413BA">
            <w:pPr>
              <w:pStyle w:val="25"/>
              <w:ind w:firstLine="210"/>
              <w:rPr>
                <w:kern w:val="0"/>
              </w:rPr>
            </w:pPr>
            <w:r>
              <w:rPr>
                <w:rFonts w:hint="eastAsia"/>
                <w:kern w:val="0"/>
              </w:rPr>
              <w:t>会点动与连续运行控制线路配电板的配线及安装；</w:t>
            </w:r>
          </w:p>
          <w:p w14:paraId="7D102E7A">
            <w:pPr>
              <w:jc w:val="left"/>
              <w:rPr>
                <w:rFonts w:ascii="仿宋" w:hAnsi="仿宋" w:eastAsia="仿宋" w:cs="仿宋"/>
                <w:color w:val="000000" w:themeColor="text1"/>
                <w:szCs w:val="21"/>
                <w14:textFill>
                  <w14:solidFill>
                    <w14:schemeClr w14:val="tx1"/>
                  </w14:solidFill>
                </w14:textFill>
              </w:rPr>
            </w:pPr>
            <w:r>
              <w:rPr>
                <w:rFonts w:hint="eastAsia"/>
                <w:kern w:val="0"/>
              </w:rPr>
              <w:t>会接触器互锁正反转控制线路配电板的配线及安装</w:t>
            </w:r>
          </w:p>
        </w:tc>
        <w:tc>
          <w:tcPr>
            <w:tcW w:w="1584" w:type="dxa"/>
          </w:tcPr>
          <w:p w14:paraId="52351F18">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会接触器互锁正反转控制线路配电板的配线及安装</w:t>
            </w:r>
          </w:p>
        </w:tc>
        <w:tc>
          <w:tcPr>
            <w:tcW w:w="1638" w:type="dxa"/>
            <w:vAlign w:val="center"/>
          </w:tcPr>
          <w:p w14:paraId="70D3EF76">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培养热爱科学、实事求是的科学态度；养成细心观察、认真探索的学习方法；增强自信心，激发兴趣；培养精益求精工匠精神。</w:t>
            </w:r>
          </w:p>
        </w:tc>
      </w:tr>
      <w:tr w14:paraId="15B65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4" w:hRule="atLeast"/>
          <w:jc w:val="center"/>
        </w:trPr>
        <w:tc>
          <w:tcPr>
            <w:tcW w:w="898" w:type="dxa"/>
            <w:vMerge w:val="restart"/>
          </w:tcPr>
          <w:p w14:paraId="35492B2C">
            <w:pPr>
              <w:jc w:val="center"/>
              <w:rPr>
                <w:spacing w:val="-12"/>
                <w:kern w:val="0"/>
              </w:rPr>
            </w:pPr>
            <w:r>
              <w:rPr>
                <w:rFonts w:hint="eastAsia"/>
                <w:spacing w:val="-12"/>
                <w:kern w:val="0"/>
              </w:rPr>
              <w:t>模</w:t>
            </w:r>
          </w:p>
          <w:p w14:paraId="441D415C">
            <w:pPr>
              <w:jc w:val="center"/>
              <w:rPr>
                <w:spacing w:val="-12"/>
                <w:kern w:val="0"/>
              </w:rPr>
            </w:pPr>
            <w:r>
              <w:rPr>
                <w:rFonts w:hint="eastAsia"/>
                <w:spacing w:val="-12"/>
                <w:kern w:val="0"/>
              </w:rPr>
              <w:t>拟</w:t>
            </w:r>
          </w:p>
          <w:p w14:paraId="7A0AE619">
            <w:pPr>
              <w:jc w:val="center"/>
              <w:rPr>
                <w:spacing w:val="-12"/>
                <w:kern w:val="0"/>
              </w:rPr>
            </w:pPr>
            <w:r>
              <w:rPr>
                <w:rFonts w:hint="eastAsia"/>
                <w:spacing w:val="-12"/>
                <w:kern w:val="0"/>
              </w:rPr>
              <w:t>电</w:t>
            </w:r>
          </w:p>
          <w:p w14:paraId="6140652B">
            <w:pPr>
              <w:jc w:val="center"/>
              <w:rPr>
                <w:spacing w:val="-12"/>
                <w:kern w:val="0"/>
              </w:rPr>
            </w:pPr>
            <w:r>
              <w:rPr>
                <w:rFonts w:hint="eastAsia"/>
                <w:spacing w:val="-12"/>
                <w:kern w:val="0"/>
              </w:rPr>
              <w:t>子</w:t>
            </w:r>
          </w:p>
          <w:p w14:paraId="0F3DAE39">
            <w:pPr>
              <w:jc w:val="center"/>
              <w:rPr>
                <w:spacing w:val="-12"/>
                <w:kern w:val="0"/>
              </w:rPr>
            </w:pPr>
            <w:r>
              <w:rPr>
                <w:rFonts w:hint="eastAsia"/>
                <w:spacing w:val="-12"/>
                <w:kern w:val="0"/>
              </w:rPr>
              <w:t>技</w:t>
            </w:r>
          </w:p>
          <w:p w14:paraId="2E63C475">
            <w:pPr>
              <w:jc w:val="center"/>
              <w:rPr>
                <w:spacing w:val="-12"/>
                <w:kern w:val="0"/>
              </w:rPr>
            </w:pPr>
            <w:r>
              <w:rPr>
                <w:rFonts w:hint="eastAsia"/>
                <w:spacing w:val="-12"/>
                <w:kern w:val="0"/>
              </w:rPr>
              <w:t>术</w:t>
            </w:r>
          </w:p>
        </w:tc>
        <w:tc>
          <w:tcPr>
            <w:tcW w:w="936" w:type="dxa"/>
            <w:vMerge w:val="restart"/>
            <w:vAlign w:val="center"/>
          </w:tcPr>
          <w:p w14:paraId="5B9A2D37">
            <w:pPr>
              <w:jc w:val="center"/>
              <w:rPr>
                <w:rFonts w:ascii="仿宋" w:hAnsi="仿宋" w:eastAsia="仿宋" w:cs="仿宋"/>
                <w:b/>
                <w:bCs/>
                <w:color w:val="000000" w:themeColor="text1"/>
                <w:szCs w:val="21"/>
                <w14:textFill>
                  <w14:solidFill>
                    <w14:schemeClr w14:val="tx1"/>
                  </w14:solidFill>
                </w14:textFill>
              </w:rPr>
            </w:pPr>
            <w:r>
              <w:rPr>
                <w:rFonts w:hint="eastAsia"/>
                <w:spacing w:val="-12"/>
                <w:kern w:val="0"/>
              </w:rPr>
              <w:t>认识实训室与基本技能训练</w:t>
            </w:r>
          </w:p>
        </w:tc>
        <w:tc>
          <w:tcPr>
            <w:tcW w:w="983" w:type="dxa"/>
            <w:vAlign w:val="center"/>
          </w:tcPr>
          <w:p w14:paraId="44C572B1">
            <w:pPr>
              <w:jc w:val="center"/>
              <w:rPr>
                <w:rFonts w:ascii="仿宋" w:hAnsi="仿宋" w:eastAsia="仿宋" w:cs="仿宋"/>
                <w:b/>
                <w:bCs/>
                <w:color w:val="000000" w:themeColor="text1"/>
                <w:szCs w:val="21"/>
                <w14:textFill>
                  <w14:solidFill>
                    <w14:schemeClr w14:val="tx1"/>
                  </w14:solidFill>
                </w14:textFill>
              </w:rPr>
            </w:pPr>
            <w:r>
              <w:rPr>
                <w:rFonts w:hint="eastAsia"/>
                <w:kern w:val="0"/>
              </w:rPr>
              <w:t>认识实训室</w:t>
            </w:r>
          </w:p>
        </w:tc>
        <w:tc>
          <w:tcPr>
            <w:tcW w:w="2483" w:type="dxa"/>
            <w:vAlign w:val="center"/>
          </w:tcPr>
          <w:p w14:paraId="65CDD6BA">
            <w:pPr>
              <w:jc w:val="left"/>
              <w:rPr>
                <w:rFonts w:ascii="仿宋" w:hAnsi="仿宋" w:eastAsia="仿宋" w:cs="仿宋"/>
                <w:color w:val="000000" w:themeColor="text1"/>
                <w:szCs w:val="21"/>
                <w14:textFill>
                  <w14:solidFill>
                    <w14:schemeClr w14:val="tx1"/>
                  </w14:solidFill>
                </w14:textFill>
              </w:rPr>
            </w:pPr>
            <w:r>
              <w:rPr>
                <w:rFonts w:hint="eastAsia"/>
                <w:kern w:val="0"/>
              </w:rPr>
              <w:t>了解电子实训室的规章制度、操作规程及安全用电的规则；观察实训室的布置，了解实训室电源、仪表、控制开关的种类和位置等</w:t>
            </w:r>
          </w:p>
        </w:tc>
        <w:tc>
          <w:tcPr>
            <w:tcW w:w="1584" w:type="dxa"/>
          </w:tcPr>
          <w:p w14:paraId="44EDC8A4">
            <w:pPr>
              <w:jc w:val="center"/>
              <w:rPr>
                <w:rFonts w:ascii="仿宋" w:hAnsi="仿宋" w:eastAsia="仿宋" w:cs="仿宋"/>
                <w:color w:val="000000" w:themeColor="text1"/>
                <w:szCs w:val="21"/>
                <w14:textFill>
                  <w14:solidFill>
                    <w14:schemeClr w14:val="tx1"/>
                  </w14:solidFill>
                </w14:textFill>
              </w:rPr>
            </w:pPr>
          </w:p>
        </w:tc>
        <w:tc>
          <w:tcPr>
            <w:tcW w:w="1638" w:type="dxa"/>
            <w:vAlign w:val="center"/>
          </w:tcPr>
          <w:p w14:paraId="24B38306">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培养热爱科学、实事求是的科学态度；养成细心观察、认真探索的学习方法；增强自信心，激发兴趣；培养精益求精工匠精神。</w:t>
            </w:r>
          </w:p>
        </w:tc>
      </w:tr>
      <w:tr w14:paraId="398E8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9" w:hRule="atLeast"/>
          <w:jc w:val="center"/>
        </w:trPr>
        <w:tc>
          <w:tcPr>
            <w:tcW w:w="898" w:type="dxa"/>
            <w:vMerge w:val="continue"/>
          </w:tcPr>
          <w:p w14:paraId="47EC3D50">
            <w:pPr>
              <w:jc w:val="center"/>
              <w:rPr>
                <w:rFonts w:ascii="仿宋" w:hAnsi="仿宋" w:eastAsia="仿宋" w:cs="仿宋"/>
                <w:b/>
                <w:bCs/>
                <w:color w:val="000000" w:themeColor="text1"/>
                <w:szCs w:val="21"/>
                <w14:textFill>
                  <w14:solidFill>
                    <w14:schemeClr w14:val="tx1"/>
                  </w14:solidFill>
                </w14:textFill>
              </w:rPr>
            </w:pPr>
          </w:p>
        </w:tc>
        <w:tc>
          <w:tcPr>
            <w:tcW w:w="936" w:type="dxa"/>
            <w:vMerge w:val="continue"/>
            <w:vAlign w:val="center"/>
          </w:tcPr>
          <w:p w14:paraId="7116D45E">
            <w:pPr>
              <w:jc w:val="center"/>
              <w:rPr>
                <w:rFonts w:ascii="仿宋" w:hAnsi="仿宋" w:eastAsia="仿宋" w:cs="仿宋"/>
                <w:b/>
                <w:bCs/>
                <w:color w:val="000000" w:themeColor="text1"/>
                <w:szCs w:val="21"/>
                <w14:textFill>
                  <w14:solidFill>
                    <w14:schemeClr w14:val="tx1"/>
                  </w14:solidFill>
                </w14:textFill>
              </w:rPr>
            </w:pPr>
          </w:p>
        </w:tc>
        <w:tc>
          <w:tcPr>
            <w:tcW w:w="983" w:type="dxa"/>
            <w:vAlign w:val="center"/>
          </w:tcPr>
          <w:p w14:paraId="13DE0945">
            <w:pPr>
              <w:jc w:val="center"/>
              <w:rPr>
                <w:rFonts w:ascii="仿宋" w:hAnsi="仿宋" w:eastAsia="仿宋" w:cs="仿宋"/>
                <w:b/>
                <w:bCs/>
                <w:color w:val="000000" w:themeColor="text1"/>
                <w:szCs w:val="21"/>
                <w14:textFill>
                  <w14:solidFill>
                    <w14:schemeClr w14:val="tx1"/>
                  </w14:solidFill>
                </w14:textFill>
              </w:rPr>
            </w:pPr>
            <w:r>
              <w:rPr>
                <w:rFonts w:hint="eastAsia"/>
                <w:kern w:val="0"/>
              </w:rPr>
              <w:t>基本技能训练</w:t>
            </w:r>
          </w:p>
        </w:tc>
        <w:tc>
          <w:tcPr>
            <w:tcW w:w="2483" w:type="dxa"/>
            <w:vAlign w:val="center"/>
          </w:tcPr>
          <w:p w14:paraId="100AD2DD">
            <w:pPr>
              <w:pStyle w:val="25"/>
              <w:spacing w:line="320" w:lineRule="exact"/>
              <w:ind w:firstLine="210"/>
            </w:pPr>
            <w:r>
              <w:rPr>
                <w:rFonts w:hint="eastAsia"/>
                <w:kern w:val="0"/>
              </w:rPr>
              <w:t>了解焊接工具和材料的使用，初步掌握基本的焊接要领；</w:t>
            </w:r>
          </w:p>
          <w:p w14:paraId="48165DEE">
            <w:pPr>
              <w:jc w:val="left"/>
              <w:rPr>
                <w:rFonts w:ascii="仿宋" w:hAnsi="仿宋" w:eastAsia="仿宋" w:cs="仿宋"/>
                <w:color w:val="000000" w:themeColor="text1"/>
                <w:szCs w:val="21"/>
                <w14:textFill>
                  <w14:solidFill>
                    <w14:schemeClr w14:val="tx1"/>
                  </w14:solidFill>
                </w14:textFill>
              </w:rPr>
            </w:pPr>
            <w:r>
              <w:rPr>
                <w:rFonts w:hint="eastAsia"/>
                <w:kern w:val="0"/>
              </w:rPr>
              <w:t>了解低压电源、信号发生器、示波器和毫伏表等常用电子仪器仪表的基本使用方法</w:t>
            </w:r>
          </w:p>
        </w:tc>
        <w:tc>
          <w:tcPr>
            <w:tcW w:w="1584" w:type="dxa"/>
          </w:tcPr>
          <w:p w14:paraId="1D1E4057">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电烙铁的使用；</w:t>
            </w:r>
          </w:p>
        </w:tc>
        <w:tc>
          <w:tcPr>
            <w:tcW w:w="1638" w:type="dxa"/>
            <w:vAlign w:val="center"/>
          </w:tcPr>
          <w:p w14:paraId="2C970B05">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培养热爱科学、实事求是的科学态度；养成细心观察、认真探索的学习方法；增强自信心，激发兴趣。</w:t>
            </w:r>
          </w:p>
        </w:tc>
      </w:tr>
      <w:tr w14:paraId="19F54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1" w:hRule="atLeast"/>
          <w:jc w:val="center"/>
        </w:trPr>
        <w:tc>
          <w:tcPr>
            <w:tcW w:w="898" w:type="dxa"/>
            <w:vMerge w:val="continue"/>
          </w:tcPr>
          <w:p w14:paraId="07CE8EF9">
            <w:pPr>
              <w:jc w:val="center"/>
              <w:rPr>
                <w:spacing w:val="-12"/>
                <w:kern w:val="0"/>
              </w:rPr>
            </w:pPr>
          </w:p>
        </w:tc>
        <w:tc>
          <w:tcPr>
            <w:tcW w:w="936" w:type="dxa"/>
            <w:vMerge w:val="restart"/>
            <w:vAlign w:val="center"/>
          </w:tcPr>
          <w:p w14:paraId="27BFF1C6">
            <w:pPr>
              <w:jc w:val="center"/>
              <w:rPr>
                <w:rFonts w:ascii="仿宋" w:hAnsi="仿宋" w:eastAsia="仿宋" w:cs="仿宋"/>
                <w:b/>
                <w:bCs/>
                <w:color w:val="000000" w:themeColor="text1"/>
                <w:szCs w:val="21"/>
                <w14:textFill>
                  <w14:solidFill>
                    <w14:schemeClr w14:val="tx1"/>
                  </w14:solidFill>
                </w14:textFill>
              </w:rPr>
            </w:pPr>
            <w:r>
              <w:rPr>
                <w:rFonts w:hint="eastAsia"/>
                <w:spacing w:val="-12"/>
                <w:kern w:val="0"/>
              </w:rPr>
              <w:t>常用半导体器件</w:t>
            </w:r>
          </w:p>
        </w:tc>
        <w:tc>
          <w:tcPr>
            <w:tcW w:w="983" w:type="dxa"/>
            <w:vAlign w:val="center"/>
          </w:tcPr>
          <w:p w14:paraId="09AAF6F9">
            <w:pPr>
              <w:jc w:val="center"/>
              <w:rPr>
                <w:rFonts w:ascii="仿宋" w:hAnsi="仿宋" w:eastAsia="仿宋" w:cs="仿宋"/>
                <w:b/>
                <w:bCs/>
                <w:color w:val="000000" w:themeColor="text1"/>
                <w:szCs w:val="21"/>
                <w14:textFill>
                  <w14:solidFill>
                    <w14:schemeClr w14:val="tx1"/>
                  </w14:solidFill>
                </w14:textFill>
              </w:rPr>
            </w:pPr>
            <w:r>
              <w:rPr>
                <w:rFonts w:hint="eastAsia"/>
                <w:spacing w:val="-12"/>
                <w:kern w:val="0"/>
              </w:rPr>
              <w:t>二极管</w:t>
            </w:r>
          </w:p>
        </w:tc>
        <w:tc>
          <w:tcPr>
            <w:tcW w:w="2483" w:type="dxa"/>
            <w:vAlign w:val="center"/>
          </w:tcPr>
          <w:p w14:paraId="6C37F6B8">
            <w:pPr>
              <w:pStyle w:val="25"/>
              <w:spacing w:line="320" w:lineRule="exact"/>
              <w:ind w:firstLine="210"/>
            </w:pPr>
            <w:r>
              <w:rPr>
                <w:rFonts w:hint="eastAsia"/>
                <w:kern w:val="0"/>
              </w:rPr>
              <w:t>通过实验或演示，了解二极管的结构、符号、特性和主要参数，能识别引脚，并合理使用；</w:t>
            </w:r>
          </w:p>
          <w:p w14:paraId="3A00EC07">
            <w:pPr>
              <w:pStyle w:val="25"/>
              <w:spacing w:line="320" w:lineRule="exact"/>
              <w:ind w:firstLine="210"/>
              <w:rPr>
                <w:kern w:val="0"/>
              </w:rPr>
            </w:pPr>
            <w:r>
              <w:rPr>
                <w:rFonts w:hint="eastAsia"/>
                <w:kern w:val="0"/>
              </w:rPr>
              <w:t>能识别硅稳压管、发光二极管、光电二极管、变容二极管等典型二极管，了解其实际应用；</w:t>
            </w:r>
          </w:p>
          <w:p w14:paraId="7ED17137">
            <w:pPr>
              <w:jc w:val="left"/>
              <w:rPr>
                <w:rFonts w:ascii="仿宋" w:hAnsi="仿宋" w:eastAsia="仿宋" w:cs="仿宋"/>
                <w:color w:val="000000" w:themeColor="text1"/>
                <w:szCs w:val="21"/>
                <w14:textFill>
                  <w14:solidFill>
                    <w14:schemeClr w14:val="tx1"/>
                  </w14:solidFill>
                </w14:textFill>
              </w:rPr>
            </w:pPr>
            <w:r>
              <w:rPr>
                <w:rFonts w:hint="eastAsia"/>
                <w:kern w:val="0"/>
              </w:rPr>
              <w:t>能用万用表判别二极管的极性和好坏</w:t>
            </w:r>
          </w:p>
        </w:tc>
        <w:tc>
          <w:tcPr>
            <w:tcW w:w="1584" w:type="dxa"/>
          </w:tcPr>
          <w:p w14:paraId="673812D2">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用万用表判别二极管的极性和好坏</w:t>
            </w:r>
          </w:p>
        </w:tc>
        <w:tc>
          <w:tcPr>
            <w:tcW w:w="1638" w:type="dxa"/>
            <w:vAlign w:val="center"/>
          </w:tcPr>
          <w:p w14:paraId="43F1451D">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培养热爱科学、实事求是的科学态度；养成细心观察、认真探索的学习方法；增强自信心，激发兴趣。</w:t>
            </w:r>
          </w:p>
        </w:tc>
      </w:tr>
      <w:tr w14:paraId="7323A2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2" w:hRule="atLeast"/>
          <w:jc w:val="center"/>
        </w:trPr>
        <w:tc>
          <w:tcPr>
            <w:tcW w:w="898" w:type="dxa"/>
            <w:vMerge w:val="continue"/>
          </w:tcPr>
          <w:p w14:paraId="7AB478C9">
            <w:pPr>
              <w:jc w:val="center"/>
              <w:rPr>
                <w:rFonts w:ascii="仿宋" w:hAnsi="仿宋" w:eastAsia="仿宋" w:cs="仿宋"/>
                <w:b/>
                <w:bCs/>
                <w:color w:val="000000" w:themeColor="text1"/>
                <w:szCs w:val="21"/>
                <w14:textFill>
                  <w14:solidFill>
                    <w14:schemeClr w14:val="tx1"/>
                  </w14:solidFill>
                </w14:textFill>
              </w:rPr>
            </w:pPr>
          </w:p>
        </w:tc>
        <w:tc>
          <w:tcPr>
            <w:tcW w:w="936" w:type="dxa"/>
            <w:vMerge w:val="continue"/>
            <w:vAlign w:val="center"/>
          </w:tcPr>
          <w:p w14:paraId="0C7B12C5">
            <w:pPr>
              <w:jc w:val="center"/>
              <w:rPr>
                <w:rFonts w:ascii="仿宋" w:hAnsi="仿宋" w:eastAsia="仿宋" w:cs="仿宋"/>
                <w:b/>
                <w:bCs/>
                <w:color w:val="000000" w:themeColor="text1"/>
                <w:szCs w:val="21"/>
                <w14:textFill>
                  <w14:solidFill>
                    <w14:schemeClr w14:val="tx1"/>
                  </w14:solidFill>
                </w14:textFill>
              </w:rPr>
            </w:pPr>
          </w:p>
        </w:tc>
        <w:tc>
          <w:tcPr>
            <w:tcW w:w="983" w:type="dxa"/>
            <w:vAlign w:val="center"/>
          </w:tcPr>
          <w:p w14:paraId="688BCE0E">
            <w:pPr>
              <w:jc w:val="center"/>
              <w:rPr>
                <w:rFonts w:ascii="仿宋" w:hAnsi="仿宋" w:eastAsia="仿宋" w:cs="仿宋"/>
                <w:b/>
                <w:bCs/>
                <w:color w:val="000000" w:themeColor="text1"/>
                <w:szCs w:val="21"/>
                <w14:textFill>
                  <w14:solidFill>
                    <w14:schemeClr w14:val="tx1"/>
                  </w14:solidFill>
                </w14:textFill>
              </w:rPr>
            </w:pPr>
            <w:r>
              <w:rPr>
                <w:rFonts w:hint="eastAsia"/>
                <w:kern w:val="0"/>
              </w:rPr>
              <w:t>三极管</w:t>
            </w:r>
          </w:p>
        </w:tc>
        <w:tc>
          <w:tcPr>
            <w:tcW w:w="2483" w:type="dxa"/>
            <w:vAlign w:val="center"/>
          </w:tcPr>
          <w:p w14:paraId="146E5341">
            <w:pPr>
              <w:pStyle w:val="25"/>
              <w:spacing w:line="320" w:lineRule="exact"/>
              <w:ind w:firstLine="210"/>
            </w:pPr>
            <w:r>
              <w:rPr>
                <w:rFonts w:hint="eastAsia"/>
                <w:kern w:val="0"/>
              </w:rPr>
              <w:t>了解三极管的结构、符号、特性和主要参数，能识别引脚，并合理使用；</w:t>
            </w:r>
          </w:p>
          <w:p w14:paraId="566CDBA8">
            <w:pPr>
              <w:jc w:val="left"/>
              <w:rPr>
                <w:rFonts w:ascii="仿宋" w:hAnsi="仿宋" w:eastAsia="仿宋" w:cs="仿宋"/>
                <w:color w:val="000000" w:themeColor="text1"/>
                <w:szCs w:val="21"/>
                <w14:textFill>
                  <w14:solidFill>
                    <w14:schemeClr w14:val="tx1"/>
                  </w14:solidFill>
                </w14:textFill>
              </w:rPr>
            </w:pPr>
            <w:r>
              <w:rPr>
                <w:rFonts w:hint="eastAsia"/>
                <w:kern w:val="0"/>
              </w:rPr>
              <w:t>会用万用表判别三极管的类型、引脚及三极管的好坏</w:t>
            </w:r>
          </w:p>
        </w:tc>
        <w:tc>
          <w:tcPr>
            <w:tcW w:w="1584" w:type="dxa"/>
          </w:tcPr>
          <w:p w14:paraId="29339D71">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用万用表判别三极管的类型、引脚及三极管的好坏</w:t>
            </w:r>
          </w:p>
        </w:tc>
        <w:tc>
          <w:tcPr>
            <w:tcW w:w="1638" w:type="dxa"/>
            <w:vAlign w:val="center"/>
          </w:tcPr>
          <w:p w14:paraId="3C2BB09F">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培养热爱科学、实事求是的科学态度；养成细心观察、认真探索的学习方法；增强自信心，激发兴趣。</w:t>
            </w:r>
          </w:p>
        </w:tc>
      </w:tr>
      <w:tr w14:paraId="317F5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7" w:hRule="atLeast"/>
          <w:jc w:val="center"/>
        </w:trPr>
        <w:tc>
          <w:tcPr>
            <w:tcW w:w="898" w:type="dxa"/>
            <w:vMerge w:val="continue"/>
          </w:tcPr>
          <w:p w14:paraId="7CFFD350">
            <w:pPr>
              <w:jc w:val="center"/>
              <w:rPr>
                <w:kern w:val="0"/>
              </w:rPr>
            </w:pPr>
          </w:p>
        </w:tc>
        <w:tc>
          <w:tcPr>
            <w:tcW w:w="936" w:type="dxa"/>
            <w:vMerge w:val="restart"/>
            <w:vAlign w:val="center"/>
          </w:tcPr>
          <w:p w14:paraId="6574F85B">
            <w:pPr>
              <w:jc w:val="center"/>
              <w:rPr>
                <w:rFonts w:ascii="仿宋" w:hAnsi="仿宋" w:eastAsia="仿宋" w:cs="仿宋"/>
                <w:b/>
                <w:bCs/>
                <w:color w:val="000000" w:themeColor="text1"/>
                <w:szCs w:val="21"/>
                <w14:textFill>
                  <w14:solidFill>
                    <w14:schemeClr w14:val="tx1"/>
                  </w14:solidFill>
                </w14:textFill>
              </w:rPr>
            </w:pPr>
            <w:r>
              <w:rPr>
                <w:rFonts w:hint="eastAsia"/>
                <w:kern w:val="0"/>
              </w:rPr>
              <w:t>整流及滤波电路</w:t>
            </w:r>
          </w:p>
        </w:tc>
        <w:tc>
          <w:tcPr>
            <w:tcW w:w="983" w:type="dxa"/>
            <w:vAlign w:val="center"/>
          </w:tcPr>
          <w:p w14:paraId="5368A95A">
            <w:pPr>
              <w:jc w:val="center"/>
              <w:rPr>
                <w:rFonts w:ascii="仿宋" w:hAnsi="仿宋" w:eastAsia="仿宋" w:cs="仿宋"/>
                <w:b/>
                <w:bCs/>
                <w:color w:val="000000" w:themeColor="text1"/>
                <w:szCs w:val="21"/>
                <w14:textFill>
                  <w14:solidFill>
                    <w14:schemeClr w14:val="tx1"/>
                  </w14:solidFill>
                </w14:textFill>
              </w:rPr>
            </w:pPr>
            <w:r>
              <w:rPr>
                <w:rFonts w:hint="eastAsia"/>
                <w:kern w:val="0"/>
              </w:rPr>
              <w:t>整流电路</w:t>
            </w:r>
          </w:p>
        </w:tc>
        <w:tc>
          <w:tcPr>
            <w:tcW w:w="2483" w:type="dxa"/>
            <w:vAlign w:val="center"/>
          </w:tcPr>
          <w:p w14:paraId="334C658B">
            <w:pPr>
              <w:pStyle w:val="25"/>
              <w:spacing w:line="320" w:lineRule="exact"/>
              <w:ind w:firstLine="210"/>
            </w:pPr>
            <w:r>
              <w:rPr>
                <w:rFonts w:hint="eastAsia"/>
                <w:kern w:val="0"/>
              </w:rPr>
              <w:t>能正确搭接桥式整流电路，并简述其工作原理；</w:t>
            </w:r>
          </w:p>
          <w:p w14:paraId="14E05885">
            <w:pPr>
              <w:pStyle w:val="25"/>
              <w:spacing w:line="320" w:lineRule="exact"/>
              <w:ind w:firstLine="210"/>
              <w:rPr>
                <w:kern w:val="0"/>
              </w:rPr>
            </w:pPr>
            <w:r>
              <w:rPr>
                <w:rFonts w:hint="eastAsia"/>
                <w:kern w:val="0"/>
              </w:rPr>
              <w:t>会用万用表测量相关电量参数，用示波器观察波形；</w:t>
            </w:r>
          </w:p>
          <w:p w14:paraId="7135C9EB">
            <w:pPr>
              <w:jc w:val="left"/>
              <w:rPr>
                <w:rFonts w:ascii="仿宋" w:hAnsi="仿宋" w:eastAsia="仿宋" w:cs="仿宋"/>
                <w:color w:val="000000" w:themeColor="text1"/>
                <w:szCs w:val="21"/>
                <w14:textFill>
                  <w14:solidFill>
                    <w14:schemeClr w14:val="tx1"/>
                  </w14:solidFill>
                </w14:textFill>
              </w:rPr>
            </w:pPr>
            <w:r>
              <w:rPr>
                <w:rFonts w:hint="eastAsia"/>
                <w:kern w:val="0"/>
              </w:rPr>
              <w:t>通过查阅资料等方式，能列举出桥式整流电路在电子电器或设备中的应用</w:t>
            </w:r>
          </w:p>
        </w:tc>
        <w:tc>
          <w:tcPr>
            <w:tcW w:w="1584" w:type="dxa"/>
          </w:tcPr>
          <w:p w14:paraId="6E84DA31">
            <w:pPr>
              <w:jc w:val="center"/>
              <w:rPr>
                <w:rFonts w:ascii="仿宋" w:hAnsi="仿宋" w:eastAsia="仿宋" w:cs="仿宋"/>
                <w:color w:val="000000" w:themeColor="text1"/>
                <w:szCs w:val="21"/>
                <w14:textFill>
                  <w14:solidFill>
                    <w14:schemeClr w14:val="tx1"/>
                  </w14:solidFill>
                </w14:textFill>
              </w:rPr>
            </w:pPr>
          </w:p>
        </w:tc>
        <w:tc>
          <w:tcPr>
            <w:tcW w:w="1638" w:type="dxa"/>
            <w:vAlign w:val="center"/>
          </w:tcPr>
          <w:p w14:paraId="37902F9D">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培养热爱科学、实事求是的科学态度；养成细心观察、认真探索的学习方法；增强自信心，激发兴趣。</w:t>
            </w:r>
          </w:p>
        </w:tc>
      </w:tr>
      <w:tr w14:paraId="7BC102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06" w:hRule="atLeast"/>
          <w:jc w:val="center"/>
        </w:trPr>
        <w:tc>
          <w:tcPr>
            <w:tcW w:w="898" w:type="dxa"/>
            <w:vMerge w:val="continue"/>
          </w:tcPr>
          <w:p w14:paraId="17D5A80A">
            <w:pPr>
              <w:jc w:val="center"/>
              <w:rPr>
                <w:rFonts w:ascii="仿宋" w:hAnsi="仿宋" w:eastAsia="仿宋" w:cs="仿宋"/>
                <w:b/>
                <w:bCs/>
                <w:color w:val="000000" w:themeColor="text1"/>
                <w:szCs w:val="21"/>
                <w14:textFill>
                  <w14:solidFill>
                    <w14:schemeClr w14:val="tx1"/>
                  </w14:solidFill>
                </w14:textFill>
              </w:rPr>
            </w:pPr>
          </w:p>
        </w:tc>
        <w:tc>
          <w:tcPr>
            <w:tcW w:w="936" w:type="dxa"/>
            <w:vMerge w:val="continue"/>
            <w:vAlign w:val="center"/>
          </w:tcPr>
          <w:p w14:paraId="4E48F524">
            <w:pPr>
              <w:jc w:val="center"/>
              <w:rPr>
                <w:rFonts w:ascii="仿宋" w:hAnsi="仿宋" w:eastAsia="仿宋" w:cs="仿宋"/>
                <w:b/>
                <w:bCs/>
                <w:color w:val="000000" w:themeColor="text1"/>
                <w:szCs w:val="21"/>
                <w14:textFill>
                  <w14:solidFill>
                    <w14:schemeClr w14:val="tx1"/>
                  </w14:solidFill>
                </w14:textFill>
              </w:rPr>
            </w:pPr>
          </w:p>
        </w:tc>
        <w:tc>
          <w:tcPr>
            <w:tcW w:w="983" w:type="dxa"/>
            <w:vAlign w:val="center"/>
          </w:tcPr>
          <w:p w14:paraId="5FF142C3">
            <w:pPr>
              <w:jc w:val="center"/>
              <w:rPr>
                <w:rFonts w:ascii="仿宋" w:hAnsi="仿宋" w:eastAsia="仿宋" w:cs="仿宋"/>
                <w:b/>
                <w:bCs/>
                <w:color w:val="000000" w:themeColor="text1"/>
                <w:szCs w:val="21"/>
                <w14:textFill>
                  <w14:solidFill>
                    <w14:schemeClr w14:val="tx1"/>
                  </w14:solidFill>
                </w14:textFill>
              </w:rPr>
            </w:pPr>
            <w:r>
              <w:rPr>
                <w:rFonts w:hint="eastAsia"/>
                <w:kern w:val="0"/>
              </w:rPr>
              <w:t>滤波电路</w:t>
            </w:r>
          </w:p>
        </w:tc>
        <w:tc>
          <w:tcPr>
            <w:tcW w:w="2483" w:type="dxa"/>
            <w:vAlign w:val="center"/>
          </w:tcPr>
          <w:p w14:paraId="78CBC5D3">
            <w:pPr>
              <w:pStyle w:val="25"/>
              <w:spacing w:line="320" w:lineRule="exact"/>
              <w:ind w:firstLine="210"/>
              <w:rPr>
                <w:kern w:val="0"/>
              </w:rPr>
            </w:pPr>
            <w:r>
              <w:rPr>
                <w:rFonts w:hint="eastAsia"/>
                <w:kern w:val="0"/>
              </w:rPr>
              <w:t>能识读电容滤波、电感滤波、复式滤波电路图；</w:t>
            </w:r>
          </w:p>
          <w:p w14:paraId="459B2721">
            <w:pPr>
              <w:jc w:val="left"/>
              <w:rPr>
                <w:rFonts w:ascii="仿宋" w:hAnsi="仿宋" w:eastAsia="仿宋" w:cs="仿宋"/>
                <w:color w:val="000000" w:themeColor="text1"/>
                <w:szCs w:val="21"/>
                <w14:textFill>
                  <w14:solidFill>
                    <w14:schemeClr w14:val="tx1"/>
                  </w14:solidFill>
                </w14:textFill>
              </w:rPr>
            </w:pPr>
            <w:r>
              <w:rPr>
                <w:rFonts w:hint="eastAsia"/>
                <w:spacing w:val="4"/>
                <w:kern w:val="0"/>
              </w:rPr>
              <w:t>可通过</w:t>
            </w:r>
            <w:r>
              <w:rPr>
                <w:rFonts w:hint="eastAsia"/>
                <w:spacing w:val="4"/>
              </w:rPr>
              <w:t>示波器演示滤波电路的输出波形，</w:t>
            </w:r>
            <w:r>
              <w:rPr>
                <w:rFonts w:hint="eastAsia"/>
                <w:spacing w:val="4"/>
                <w:kern w:val="0"/>
              </w:rPr>
              <w:t>了解滤波电路的工作原理</w:t>
            </w:r>
          </w:p>
        </w:tc>
        <w:tc>
          <w:tcPr>
            <w:tcW w:w="1584" w:type="dxa"/>
          </w:tcPr>
          <w:p w14:paraId="6C38F33A">
            <w:pPr>
              <w:jc w:val="center"/>
              <w:rPr>
                <w:rFonts w:ascii="仿宋" w:hAnsi="仿宋" w:eastAsia="仿宋" w:cs="仿宋"/>
                <w:color w:val="000000" w:themeColor="text1"/>
                <w:szCs w:val="21"/>
                <w14:textFill>
                  <w14:solidFill>
                    <w14:schemeClr w14:val="tx1"/>
                  </w14:solidFill>
                </w14:textFill>
              </w:rPr>
            </w:pPr>
          </w:p>
        </w:tc>
        <w:tc>
          <w:tcPr>
            <w:tcW w:w="1638" w:type="dxa"/>
            <w:vAlign w:val="center"/>
          </w:tcPr>
          <w:p w14:paraId="5FD7FAE5">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培养热爱科学、实事求是的科学态度；养成细心观察、认真探索的学习方法；增强自信心，激发兴趣，培养团结协作的团队精神。</w:t>
            </w:r>
          </w:p>
        </w:tc>
      </w:tr>
      <w:tr w14:paraId="47FCD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2" w:hRule="atLeast"/>
          <w:jc w:val="center"/>
        </w:trPr>
        <w:tc>
          <w:tcPr>
            <w:tcW w:w="898" w:type="dxa"/>
            <w:vMerge w:val="continue"/>
          </w:tcPr>
          <w:p w14:paraId="5B123F1D">
            <w:pPr>
              <w:jc w:val="center"/>
              <w:rPr>
                <w:kern w:val="0"/>
              </w:rPr>
            </w:pPr>
          </w:p>
        </w:tc>
        <w:tc>
          <w:tcPr>
            <w:tcW w:w="936" w:type="dxa"/>
            <w:vMerge w:val="restart"/>
            <w:vAlign w:val="center"/>
          </w:tcPr>
          <w:p w14:paraId="60FB40BA">
            <w:pPr>
              <w:jc w:val="center"/>
              <w:rPr>
                <w:rFonts w:ascii="仿宋" w:hAnsi="仿宋" w:eastAsia="仿宋" w:cs="仿宋"/>
                <w:b/>
                <w:bCs/>
                <w:color w:val="000000" w:themeColor="text1"/>
                <w:szCs w:val="21"/>
                <w14:textFill>
                  <w14:solidFill>
                    <w14:schemeClr w14:val="tx1"/>
                  </w14:solidFill>
                </w14:textFill>
              </w:rPr>
            </w:pPr>
            <w:r>
              <w:rPr>
                <w:rFonts w:hint="eastAsia"/>
                <w:kern w:val="0"/>
              </w:rPr>
              <w:t>放大电路与集成运算放大器</w:t>
            </w:r>
          </w:p>
        </w:tc>
        <w:tc>
          <w:tcPr>
            <w:tcW w:w="983" w:type="dxa"/>
            <w:vAlign w:val="center"/>
          </w:tcPr>
          <w:p w14:paraId="21EF0C71">
            <w:pPr>
              <w:jc w:val="center"/>
              <w:rPr>
                <w:rFonts w:ascii="仿宋" w:hAnsi="仿宋" w:eastAsia="仿宋" w:cs="仿宋"/>
                <w:b/>
                <w:bCs/>
                <w:color w:val="000000" w:themeColor="text1"/>
                <w:szCs w:val="21"/>
                <w14:textFill>
                  <w14:solidFill>
                    <w14:schemeClr w14:val="tx1"/>
                  </w14:solidFill>
                </w14:textFill>
              </w:rPr>
            </w:pPr>
            <w:r>
              <w:rPr>
                <w:rFonts w:hint="eastAsia"/>
                <w:kern w:val="0"/>
              </w:rPr>
              <w:t>基本放大电路</w:t>
            </w:r>
          </w:p>
        </w:tc>
        <w:tc>
          <w:tcPr>
            <w:tcW w:w="2483" w:type="dxa"/>
            <w:vAlign w:val="center"/>
          </w:tcPr>
          <w:p w14:paraId="0963659B">
            <w:pPr>
              <w:pStyle w:val="25"/>
              <w:spacing w:line="320" w:lineRule="exact"/>
              <w:ind w:firstLine="210"/>
              <w:rPr>
                <w:kern w:val="0"/>
              </w:rPr>
            </w:pPr>
            <w:r>
              <w:rPr>
                <w:rFonts w:hint="eastAsia"/>
                <w:kern w:val="0"/>
              </w:rPr>
              <w:t>能识读共射放大电路的基本放大电路图，理解共射放大电路的电路结构和主要元器件的作用；</w:t>
            </w:r>
          </w:p>
          <w:p w14:paraId="453D9E7C">
            <w:pPr>
              <w:pStyle w:val="25"/>
              <w:spacing w:line="320" w:lineRule="exact"/>
              <w:ind w:firstLine="210"/>
              <w:rPr>
                <w:kern w:val="0"/>
              </w:rPr>
            </w:pPr>
            <w:r>
              <w:rPr>
                <w:rFonts w:hint="eastAsia"/>
                <w:kern w:val="0"/>
              </w:rPr>
              <w:t>了解小信号放大器的静态工作点和性能指标（放大倍数、输入电阻、输出电阻）的含义；</w:t>
            </w:r>
          </w:p>
          <w:p w14:paraId="6ABD21F7">
            <w:pPr>
              <w:jc w:val="left"/>
              <w:rPr>
                <w:rFonts w:ascii="仿宋" w:hAnsi="仿宋" w:eastAsia="仿宋" w:cs="仿宋"/>
                <w:color w:val="000000" w:themeColor="text1"/>
                <w:szCs w:val="21"/>
                <w14:textFill>
                  <w14:solidFill>
                    <w14:schemeClr w14:val="tx1"/>
                  </w14:solidFill>
                </w14:textFill>
              </w:rPr>
            </w:pPr>
            <w:r>
              <w:rPr>
                <w:rFonts w:hint="eastAsia"/>
                <w:kern w:val="0"/>
              </w:rPr>
              <w:t>了解多级放大器的三种级间耦合方式及特点</w:t>
            </w:r>
          </w:p>
        </w:tc>
        <w:tc>
          <w:tcPr>
            <w:tcW w:w="1584" w:type="dxa"/>
          </w:tcPr>
          <w:p w14:paraId="74CCF58A">
            <w:pPr>
              <w:jc w:val="center"/>
              <w:rPr>
                <w:rFonts w:ascii="仿宋" w:hAnsi="仿宋" w:eastAsia="仿宋" w:cs="仿宋"/>
                <w:color w:val="000000" w:themeColor="text1"/>
                <w:szCs w:val="21"/>
                <w14:textFill>
                  <w14:solidFill>
                    <w14:schemeClr w14:val="tx1"/>
                  </w14:solidFill>
                </w14:textFill>
              </w:rPr>
            </w:pPr>
          </w:p>
        </w:tc>
        <w:tc>
          <w:tcPr>
            <w:tcW w:w="1638" w:type="dxa"/>
            <w:vAlign w:val="center"/>
          </w:tcPr>
          <w:p w14:paraId="75F4B627">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培养热爱科学、实事求是的科学态度；养成细心观察、认真探索的学习方法；增强自信心，激发兴趣；培养精益求精工匠精神。</w:t>
            </w:r>
          </w:p>
        </w:tc>
      </w:tr>
      <w:tr w14:paraId="2AC33D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9" w:hRule="atLeast"/>
          <w:jc w:val="center"/>
        </w:trPr>
        <w:tc>
          <w:tcPr>
            <w:tcW w:w="898" w:type="dxa"/>
            <w:vMerge w:val="continue"/>
          </w:tcPr>
          <w:p w14:paraId="78B99440">
            <w:pPr>
              <w:jc w:val="center"/>
              <w:rPr>
                <w:rFonts w:ascii="仿宋" w:hAnsi="仿宋" w:eastAsia="仿宋" w:cs="仿宋"/>
                <w:b/>
                <w:bCs/>
                <w:color w:val="000000" w:themeColor="text1"/>
                <w:szCs w:val="21"/>
                <w14:textFill>
                  <w14:solidFill>
                    <w14:schemeClr w14:val="tx1"/>
                  </w14:solidFill>
                </w14:textFill>
              </w:rPr>
            </w:pPr>
          </w:p>
        </w:tc>
        <w:tc>
          <w:tcPr>
            <w:tcW w:w="936" w:type="dxa"/>
            <w:vMerge w:val="continue"/>
            <w:vAlign w:val="center"/>
          </w:tcPr>
          <w:p w14:paraId="181BE1FD">
            <w:pPr>
              <w:jc w:val="center"/>
              <w:rPr>
                <w:rFonts w:ascii="仿宋" w:hAnsi="仿宋" w:eastAsia="仿宋" w:cs="仿宋"/>
                <w:b/>
                <w:bCs/>
                <w:color w:val="000000" w:themeColor="text1"/>
                <w:szCs w:val="21"/>
                <w14:textFill>
                  <w14:solidFill>
                    <w14:schemeClr w14:val="tx1"/>
                  </w14:solidFill>
                </w14:textFill>
              </w:rPr>
            </w:pPr>
          </w:p>
        </w:tc>
        <w:tc>
          <w:tcPr>
            <w:tcW w:w="983" w:type="dxa"/>
            <w:vAlign w:val="center"/>
          </w:tcPr>
          <w:p w14:paraId="00B96EEC">
            <w:pPr>
              <w:jc w:val="center"/>
              <w:rPr>
                <w:rFonts w:ascii="仿宋" w:hAnsi="仿宋" w:eastAsia="仿宋" w:cs="仿宋"/>
                <w:b/>
                <w:bCs/>
                <w:color w:val="000000" w:themeColor="text1"/>
                <w:szCs w:val="21"/>
                <w14:textFill>
                  <w14:solidFill>
                    <w14:schemeClr w14:val="tx1"/>
                  </w14:solidFill>
                </w14:textFill>
              </w:rPr>
            </w:pPr>
            <w:r>
              <w:rPr>
                <w:rFonts w:hint="eastAsia"/>
                <w:kern w:val="0"/>
              </w:rPr>
              <w:t>实训项目</w:t>
            </w:r>
          </w:p>
        </w:tc>
        <w:tc>
          <w:tcPr>
            <w:tcW w:w="2483" w:type="dxa"/>
            <w:vAlign w:val="center"/>
          </w:tcPr>
          <w:p w14:paraId="64E0F633">
            <w:pPr>
              <w:jc w:val="left"/>
              <w:rPr>
                <w:rFonts w:ascii="仿宋" w:hAnsi="仿宋" w:eastAsia="仿宋" w:cs="仿宋"/>
                <w:color w:val="000000" w:themeColor="text1"/>
                <w:szCs w:val="21"/>
                <w14:textFill>
                  <w14:solidFill>
                    <w14:schemeClr w14:val="tx1"/>
                  </w14:solidFill>
                </w14:textFill>
              </w:rPr>
            </w:pPr>
            <w:r>
              <w:rPr>
                <w:rFonts w:hint="eastAsia"/>
                <w:kern w:val="0"/>
              </w:rPr>
              <w:t>会安装和调试共射基本放大电路</w:t>
            </w:r>
          </w:p>
        </w:tc>
        <w:tc>
          <w:tcPr>
            <w:tcW w:w="1584" w:type="dxa"/>
          </w:tcPr>
          <w:p w14:paraId="2551F1A6">
            <w:pPr>
              <w:jc w:val="center"/>
              <w:rPr>
                <w:rFonts w:ascii="仿宋" w:hAnsi="仿宋" w:eastAsia="仿宋" w:cs="仿宋"/>
                <w:color w:val="000000" w:themeColor="text1"/>
                <w:szCs w:val="21"/>
                <w14:textFill>
                  <w14:solidFill>
                    <w14:schemeClr w14:val="tx1"/>
                  </w14:solidFill>
                </w14:textFill>
              </w:rPr>
            </w:pPr>
          </w:p>
        </w:tc>
        <w:tc>
          <w:tcPr>
            <w:tcW w:w="1638" w:type="dxa"/>
            <w:vAlign w:val="center"/>
          </w:tcPr>
          <w:p w14:paraId="70AA8E84">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培养热爱科学、实事求是的科学态度；养成细心观察、认真探索的学习方法；增强自信心，激发兴趣；培养精益求精工匠精神。</w:t>
            </w:r>
          </w:p>
          <w:p w14:paraId="53B03A8E">
            <w:pPr>
              <w:jc w:val="center"/>
              <w:rPr>
                <w:rFonts w:ascii="仿宋" w:hAnsi="仿宋" w:eastAsia="仿宋" w:cs="仿宋"/>
                <w:color w:val="000000" w:themeColor="text1"/>
                <w:szCs w:val="21"/>
                <w14:textFill>
                  <w14:solidFill>
                    <w14:schemeClr w14:val="tx1"/>
                  </w14:solidFill>
                </w14:textFill>
              </w:rPr>
            </w:pPr>
          </w:p>
        </w:tc>
      </w:tr>
      <w:tr w14:paraId="5BCEAA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8" w:hRule="atLeast"/>
          <w:jc w:val="center"/>
        </w:trPr>
        <w:tc>
          <w:tcPr>
            <w:tcW w:w="898" w:type="dxa"/>
            <w:vMerge w:val="continue"/>
          </w:tcPr>
          <w:p w14:paraId="0437C895">
            <w:pPr>
              <w:jc w:val="center"/>
              <w:rPr>
                <w:rFonts w:ascii="仿宋" w:hAnsi="仿宋" w:eastAsia="仿宋" w:cs="仿宋"/>
                <w:b/>
                <w:bCs/>
                <w:color w:val="000000" w:themeColor="text1"/>
                <w:szCs w:val="21"/>
                <w14:textFill>
                  <w14:solidFill>
                    <w14:schemeClr w14:val="tx1"/>
                  </w14:solidFill>
                </w14:textFill>
              </w:rPr>
            </w:pPr>
          </w:p>
        </w:tc>
        <w:tc>
          <w:tcPr>
            <w:tcW w:w="936" w:type="dxa"/>
            <w:vMerge w:val="continue"/>
            <w:vAlign w:val="center"/>
          </w:tcPr>
          <w:p w14:paraId="6D1D2D65">
            <w:pPr>
              <w:jc w:val="center"/>
              <w:rPr>
                <w:rFonts w:ascii="仿宋" w:hAnsi="仿宋" w:eastAsia="仿宋" w:cs="仿宋"/>
                <w:b/>
                <w:bCs/>
                <w:color w:val="000000" w:themeColor="text1"/>
                <w:szCs w:val="21"/>
                <w14:textFill>
                  <w14:solidFill>
                    <w14:schemeClr w14:val="tx1"/>
                  </w14:solidFill>
                </w14:textFill>
              </w:rPr>
            </w:pPr>
          </w:p>
        </w:tc>
        <w:tc>
          <w:tcPr>
            <w:tcW w:w="983" w:type="dxa"/>
            <w:vAlign w:val="center"/>
          </w:tcPr>
          <w:p w14:paraId="13637035">
            <w:pPr>
              <w:jc w:val="center"/>
              <w:rPr>
                <w:rFonts w:ascii="仿宋" w:hAnsi="仿宋" w:eastAsia="仿宋" w:cs="仿宋"/>
                <w:b/>
                <w:bCs/>
                <w:color w:val="000000" w:themeColor="text1"/>
                <w:szCs w:val="21"/>
                <w14:textFill>
                  <w14:solidFill>
                    <w14:schemeClr w14:val="tx1"/>
                  </w14:solidFill>
                </w14:textFill>
              </w:rPr>
            </w:pPr>
            <w:r>
              <w:rPr>
                <w:rFonts w:hint="eastAsia"/>
                <w:kern w:val="0"/>
              </w:rPr>
              <w:t>集成运算放大器</w:t>
            </w:r>
          </w:p>
        </w:tc>
        <w:tc>
          <w:tcPr>
            <w:tcW w:w="2483" w:type="dxa"/>
            <w:vAlign w:val="center"/>
          </w:tcPr>
          <w:p w14:paraId="0C088577">
            <w:pPr>
              <w:pStyle w:val="25"/>
              <w:spacing w:line="320" w:lineRule="exact"/>
              <w:ind w:firstLine="210"/>
              <w:rPr>
                <w:kern w:val="0"/>
              </w:rPr>
            </w:pPr>
            <w:r>
              <w:rPr>
                <w:rFonts w:hint="eastAsia"/>
                <w:kern w:val="0"/>
              </w:rPr>
              <w:t>了解反馈的概念，了解负反馈应用于放大器中的类型；</w:t>
            </w:r>
          </w:p>
          <w:p w14:paraId="3DF4D942">
            <w:pPr>
              <w:pStyle w:val="25"/>
              <w:spacing w:line="320" w:lineRule="exact"/>
              <w:ind w:firstLine="210"/>
              <w:rPr>
                <w:kern w:val="0"/>
              </w:rPr>
            </w:pPr>
            <w:r>
              <w:rPr>
                <w:rFonts w:hint="eastAsia"/>
                <w:kern w:val="0"/>
              </w:rPr>
              <w:t>通过实验，了解负反馈对放大电路性能的影响；</w:t>
            </w:r>
          </w:p>
          <w:p w14:paraId="753F8733">
            <w:pPr>
              <w:pStyle w:val="25"/>
              <w:spacing w:line="320" w:lineRule="exact"/>
              <w:ind w:firstLine="210"/>
              <w:rPr>
                <w:kern w:val="0"/>
              </w:rPr>
            </w:pPr>
            <w:r>
              <w:rPr>
                <w:rFonts w:hint="eastAsia"/>
                <w:kern w:val="0"/>
              </w:rPr>
              <w:t>了解集成运放的电路结构，了解集成运放的符号及器件的引脚功能；</w:t>
            </w:r>
          </w:p>
          <w:p w14:paraId="68D4661C">
            <w:pPr>
              <w:jc w:val="left"/>
              <w:rPr>
                <w:rFonts w:ascii="仿宋" w:hAnsi="仿宋" w:eastAsia="仿宋" w:cs="仿宋"/>
                <w:color w:val="000000" w:themeColor="text1"/>
                <w:szCs w:val="21"/>
                <w14:textFill>
                  <w14:solidFill>
                    <w14:schemeClr w14:val="tx1"/>
                  </w14:solidFill>
                </w14:textFill>
              </w:rPr>
            </w:pPr>
            <w:r>
              <w:rPr>
                <w:rFonts w:hint="eastAsia"/>
                <w:kern w:val="0"/>
              </w:rPr>
              <w:t>了解集成运放的理想特性在实际中的应用，能识读反相放大器、同相放大器电路图</w:t>
            </w:r>
          </w:p>
        </w:tc>
        <w:tc>
          <w:tcPr>
            <w:tcW w:w="1584" w:type="dxa"/>
          </w:tcPr>
          <w:p w14:paraId="375E3D9A">
            <w:pPr>
              <w:jc w:val="center"/>
              <w:rPr>
                <w:rFonts w:ascii="仿宋" w:hAnsi="仿宋" w:eastAsia="仿宋" w:cs="仿宋"/>
                <w:color w:val="000000" w:themeColor="text1"/>
                <w:szCs w:val="21"/>
                <w14:textFill>
                  <w14:solidFill>
                    <w14:schemeClr w14:val="tx1"/>
                  </w14:solidFill>
                </w14:textFill>
              </w:rPr>
            </w:pPr>
          </w:p>
        </w:tc>
        <w:tc>
          <w:tcPr>
            <w:tcW w:w="1638" w:type="dxa"/>
            <w:vAlign w:val="center"/>
          </w:tcPr>
          <w:p w14:paraId="356E1955">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培养热爱科学、实事求是的科学态度；养成细心观察、认真探索的学习方法；增强自信心，激发兴趣。</w:t>
            </w:r>
          </w:p>
        </w:tc>
      </w:tr>
      <w:tr w14:paraId="5296E6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71" w:hRule="atLeast"/>
          <w:jc w:val="center"/>
        </w:trPr>
        <w:tc>
          <w:tcPr>
            <w:tcW w:w="898" w:type="dxa"/>
            <w:vMerge w:val="restart"/>
          </w:tcPr>
          <w:p w14:paraId="261FFC59">
            <w:pPr>
              <w:jc w:val="center"/>
              <w:rPr>
                <w:kern w:val="0"/>
              </w:rPr>
            </w:pPr>
            <w:r>
              <w:rPr>
                <w:rFonts w:hint="eastAsia"/>
                <w:kern w:val="0"/>
              </w:rPr>
              <w:t>数</w:t>
            </w:r>
          </w:p>
          <w:p w14:paraId="62BDE53F">
            <w:pPr>
              <w:jc w:val="center"/>
              <w:rPr>
                <w:kern w:val="0"/>
              </w:rPr>
            </w:pPr>
            <w:r>
              <w:rPr>
                <w:rFonts w:hint="eastAsia"/>
                <w:kern w:val="0"/>
              </w:rPr>
              <w:t>字</w:t>
            </w:r>
          </w:p>
          <w:p w14:paraId="5863FDD7">
            <w:pPr>
              <w:jc w:val="center"/>
              <w:rPr>
                <w:kern w:val="0"/>
              </w:rPr>
            </w:pPr>
            <w:r>
              <w:rPr>
                <w:rFonts w:hint="eastAsia"/>
                <w:kern w:val="0"/>
              </w:rPr>
              <w:t>电</w:t>
            </w:r>
          </w:p>
          <w:p w14:paraId="28C24C2C">
            <w:pPr>
              <w:jc w:val="center"/>
              <w:rPr>
                <w:kern w:val="0"/>
              </w:rPr>
            </w:pPr>
            <w:r>
              <w:rPr>
                <w:rFonts w:hint="eastAsia"/>
                <w:kern w:val="0"/>
              </w:rPr>
              <w:t>子</w:t>
            </w:r>
          </w:p>
          <w:p w14:paraId="76289D4F">
            <w:pPr>
              <w:jc w:val="center"/>
              <w:rPr>
                <w:kern w:val="0"/>
              </w:rPr>
            </w:pPr>
            <w:r>
              <w:rPr>
                <w:rFonts w:hint="eastAsia"/>
                <w:kern w:val="0"/>
              </w:rPr>
              <w:t>技</w:t>
            </w:r>
          </w:p>
          <w:p w14:paraId="5FC35CD5">
            <w:pPr>
              <w:jc w:val="center"/>
              <w:rPr>
                <w:kern w:val="0"/>
              </w:rPr>
            </w:pPr>
            <w:r>
              <w:rPr>
                <w:rFonts w:hint="eastAsia"/>
                <w:kern w:val="0"/>
              </w:rPr>
              <w:t>术</w:t>
            </w:r>
          </w:p>
        </w:tc>
        <w:tc>
          <w:tcPr>
            <w:tcW w:w="936" w:type="dxa"/>
            <w:vMerge w:val="restart"/>
            <w:vAlign w:val="center"/>
          </w:tcPr>
          <w:p w14:paraId="50737D9D">
            <w:pPr>
              <w:jc w:val="center"/>
              <w:rPr>
                <w:rFonts w:ascii="仿宋" w:hAnsi="仿宋" w:eastAsia="仿宋" w:cs="仿宋"/>
                <w:b/>
                <w:bCs/>
                <w:color w:val="000000" w:themeColor="text1"/>
                <w:szCs w:val="21"/>
                <w14:textFill>
                  <w14:solidFill>
                    <w14:schemeClr w14:val="tx1"/>
                  </w14:solidFill>
                </w14:textFill>
              </w:rPr>
            </w:pPr>
            <w:r>
              <w:rPr>
                <w:rFonts w:hint="eastAsia"/>
                <w:kern w:val="0"/>
              </w:rPr>
              <w:t>数字电子技术基础</w:t>
            </w:r>
          </w:p>
        </w:tc>
        <w:tc>
          <w:tcPr>
            <w:tcW w:w="983" w:type="dxa"/>
            <w:vAlign w:val="center"/>
          </w:tcPr>
          <w:p w14:paraId="79A6DA48">
            <w:pPr>
              <w:jc w:val="center"/>
              <w:rPr>
                <w:rFonts w:ascii="仿宋" w:hAnsi="仿宋" w:eastAsia="仿宋" w:cs="仿宋"/>
                <w:b/>
                <w:bCs/>
                <w:color w:val="000000" w:themeColor="text1"/>
                <w:szCs w:val="21"/>
                <w14:textFill>
                  <w14:solidFill>
                    <w14:schemeClr w14:val="tx1"/>
                  </w14:solidFill>
                </w14:textFill>
              </w:rPr>
            </w:pPr>
            <w:r>
              <w:rPr>
                <w:rFonts w:hint="eastAsia"/>
                <w:spacing w:val="-8"/>
                <w:kern w:val="0"/>
              </w:rPr>
              <w:t>数字电路基础知识</w:t>
            </w:r>
          </w:p>
        </w:tc>
        <w:tc>
          <w:tcPr>
            <w:tcW w:w="2483" w:type="dxa"/>
            <w:vAlign w:val="center"/>
          </w:tcPr>
          <w:p w14:paraId="1BE88309">
            <w:pPr>
              <w:pStyle w:val="25"/>
              <w:spacing w:line="320" w:lineRule="exact"/>
              <w:ind w:firstLine="210"/>
              <w:rPr>
                <w:kern w:val="0"/>
              </w:rPr>
            </w:pPr>
            <w:r>
              <w:rPr>
                <w:rFonts w:hint="eastAsia"/>
                <w:kern w:val="0"/>
              </w:rPr>
              <w:t>了解数字信号的特点；</w:t>
            </w:r>
          </w:p>
          <w:p w14:paraId="41F7ADDC">
            <w:pPr>
              <w:pStyle w:val="25"/>
              <w:spacing w:line="320" w:lineRule="exact"/>
              <w:ind w:firstLine="218"/>
              <w:rPr>
                <w:kern w:val="0"/>
              </w:rPr>
            </w:pPr>
            <w:r>
              <w:rPr>
                <w:rFonts w:hint="eastAsia"/>
                <w:spacing w:val="4"/>
                <w:kern w:val="0"/>
              </w:rPr>
              <w:t>了解二进制的表示方法，了解二进制与十进制数之间的相互转换</w:t>
            </w:r>
            <w:r>
              <w:rPr>
                <w:rFonts w:hint="eastAsia"/>
                <w:kern w:val="0"/>
              </w:rPr>
              <w:t>；</w:t>
            </w:r>
          </w:p>
          <w:p w14:paraId="55D5B699">
            <w:pPr>
              <w:pStyle w:val="25"/>
              <w:spacing w:line="320" w:lineRule="exact"/>
              <w:ind w:firstLine="210"/>
              <w:rPr>
                <w:kern w:val="0"/>
              </w:rPr>
            </w:pPr>
            <w:r>
              <w:rPr>
                <w:rFonts w:hint="eastAsia"/>
                <w:kern w:val="0"/>
              </w:rPr>
              <w:t xml:space="preserve">了解8421BCD码的表示形式； </w:t>
            </w:r>
          </w:p>
          <w:p w14:paraId="1110EBBA">
            <w:pPr>
              <w:jc w:val="left"/>
              <w:rPr>
                <w:rFonts w:ascii="仿宋" w:hAnsi="仿宋" w:eastAsia="仿宋" w:cs="仿宋"/>
                <w:color w:val="000000" w:themeColor="text1"/>
                <w:szCs w:val="21"/>
                <w14:textFill>
                  <w14:solidFill>
                    <w14:schemeClr w14:val="tx1"/>
                  </w14:solidFill>
                </w14:textFill>
              </w:rPr>
            </w:pPr>
            <w:r>
              <w:rPr>
                <w:rFonts w:hint="eastAsia"/>
                <w:kern w:val="0"/>
              </w:rPr>
              <w:t>能列举模拟信号与数字信号的实例，能列举实际生活中应用的不同进制数</w:t>
            </w:r>
          </w:p>
        </w:tc>
        <w:tc>
          <w:tcPr>
            <w:tcW w:w="1584" w:type="dxa"/>
          </w:tcPr>
          <w:p w14:paraId="513003E1">
            <w:pPr>
              <w:jc w:val="center"/>
              <w:rPr>
                <w:rFonts w:ascii="仿宋" w:hAnsi="仿宋" w:eastAsia="仿宋" w:cs="仿宋"/>
                <w:color w:val="000000" w:themeColor="text1"/>
                <w:szCs w:val="21"/>
                <w14:textFill>
                  <w14:solidFill>
                    <w14:schemeClr w14:val="tx1"/>
                  </w14:solidFill>
                </w14:textFill>
              </w:rPr>
            </w:pPr>
          </w:p>
        </w:tc>
        <w:tc>
          <w:tcPr>
            <w:tcW w:w="1638" w:type="dxa"/>
            <w:vAlign w:val="center"/>
          </w:tcPr>
          <w:p w14:paraId="3A11A941">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培养热爱科学、实事求是的科学态度；养成细心观察、认真探索的学习方法；增强自信心，激发兴趣。</w:t>
            </w:r>
          </w:p>
        </w:tc>
      </w:tr>
      <w:tr w14:paraId="54ED6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92" w:hRule="atLeast"/>
          <w:jc w:val="center"/>
        </w:trPr>
        <w:tc>
          <w:tcPr>
            <w:tcW w:w="898" w:type="dxa"/>
            <w:vMerge w:val="continue"/>
          </w:tcPr>
          <w:p w14:paraId="305032B9">
            <w:pPr>
              <w:jc w:val="center"/>
              <w:rPr>
                <w:rFonts w:ascii="仿宋" w:hAnsi="仿宋" w:eastAsia="仿宋" w:cs="仿宋"/>
                <w:b/>
                <w:bCs/>
                <w:color w:val="000000" w:themeColor="text1"/>
                <w:szCs w:val="21"/>
                <w14:textFill>
                  <w14:solidFill>
                    <w14:schemeClr w14:val="tx1"/>
                  </w14:solidFill>
                </w14:textFill>
              </w:rPr>
            </w:pPr>
          </w:p>
        </w:tc>
        <w:tc>
          <w:tcPr>
            <w:tcW w:w="936" w:type="dxa"/>
            <w:vMerge w:val="continue"/>
            <w:vAlign w:val="center"/>
          </w:tcPr>
          <w:p w14:paraId="0DD9B492">
            <w:pPr>
              <w:jc w:val="center"/>
              <w:rPr>
                <w:rFonts w:ascii="仿宋" w:hAnsi="仿宋" w:eastAsia="仿宋" w:cs="仿宋"/>
                <w:b/>
                <w:bCs/>
                <w:color w:val="000000" w:themeColor="text1"/>
                <w:szCs w:val="21"/>
                <w14:textFill>
                  <w14:solidFill>
                    <w14:schemeClr w14:val="tx1"/>
                  </w14:solidFill>
                </w14:textFill>
              </w:rPr>
            </w:pPr>
          </w:p>
        </w:tc>
        <w:tc>
          <w:tcPr>
            <w:tcW w:w="983" w:type="dxa"/>
            <w:vAlign w:val="center"/>
          </w:tcPr>
          <w:p w14:paraId="73F100E7">
            <w:pPr>
              <w:jc w:val="center"/>
              <w:rPr>
                <w:rFonts w:ascii="仿宋" w:hAnsi="仿宋" w:eastAsia="仿宋" w:cs="仿宋"/>
                <w:b/>
                <w:bCs/>
                <w:color w:val="000000" w:themeColor="text1"/>
                <w:szCs w:val="21"/>
                <w14:textFill>
                  <w14:solidFill>
                    <w14:schemeClr w14:val="tx1"/>
                  </w14:solidFill>
                </w14:textFill>
              </w:rPr>
            </w:pPr>
            <w:r>
              <w:rPr>
                <w:rFonts w:hint="eastAsia"/>
                <w:kern w:val="0"/>
              </w:rPr>
              <w:t>逻辑门电路</w:t>
            </w:r>
          </w:p>
        </w:tc>
        <w:tc>
          <w:tcPr>
            <w:tcW w:w="2483" w:type="dxa"/>
            <w:vAlign w:val="center"/>
          </w:tcPr>
          <w:p w14:paraId="5C946972">
            <w:pPr>
              <w:pStyle w:val="25"/>
              <w:spacing w:line="320" w:lineRule="exact"/>
              <w:ind w:firstLine="210"/>
              <w:rPr>
                <w:kern w:val="0"/>
              </w:rPr>
            </w:pPr>
            <w:r>
              <w:rPr>
                <w:rFonts w:hint="eastAsia"/>
                <w:kern w:val="0"/>
              </w:rPr>
              <w:t>了解与门、或门、非门等基本逻辑门，了解与非门、或非门、与或非门等复合逻辑门的逻辑功能，能识别其电路图符号；</w:t>
            </w:r>
          </w:p>
          <w:p w14:paraId="449E3034">
            <w:pPr>
              <w:pStyle w:val="25"/>
              <w:spacing w:line="320" w:lineRule="exact"/>
              <w:ind w:firstLine="210"/>
              <w:rPr>
                <w:kern w:val="0"/>
              </w:rPr>
            </w:pPr>
            <w:r>
              <w:rPr>
                <w:rFonts w:hint="eastAsia"/>
                <w:kern w:val="0"/>
              </w:rPr>
              <w:t>了解TTL门电路的型号及其使用常识，能识别引脚；</w:t>
            </w:r>
          </w:p>
          <w:p w14:paraId="7FBCA323">
            <w:pPr>
              <w:jc w:val="left"/>
              <w:rPr>
                <w:rFonts w:ascii="仿宋" w:hAnsi="仿宋" w:eastAsia="仿宋" w:cs="仿宋"/>
                <w:color w:val="000000" w:themeColor="text1"/>
                <w:szCs w:val="21"/>
                <w14:textFill>
                  <w14:solidFill>
                    <w14:schemeClr w14:val="tx1"/>
                  </w14:solidFill>
                </w14:textFill>
              </w:rPr>
            </w:pPr>
            <w:r>
              <w:rPr>
                <w:rFonts w:hint="eastAsia"/>
                <w:kern w:val="0"/>
              </w:rPr>
              <w:t>了解CMOS门电路的型号及其使用常识，能识别引脚，掌握其安全操作的方法</w:t>
            </w:r>
          </w:p>
        </w:tc>
        <w:tc>
          <w:tcPr>
            <w:tcW w:w="1584" w:type="dxa"/>
          </w:tcPr>
          <w:p w14:paraId="02CB7446">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了解与门、或门、非门等基本逻辑门，了解与非门、或非门、与或非门等复合逻辑门的逻辑功能，能识别其电路图符号</w:t>
            </w:r>
          </w:p>
        </w:tc>
        <w:tc>
          <w:tcPr>
            <w:tcW w:w="1638" w:type="dxa"/>
            <w:vAlign w:val="center"/>
          </w:tcPr>
          <w:p w14:paraId="52384CF6">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培养热爱科学、实事求是的科学态度；养成细心观察、认真探索的学习方法；增强自信心，激发兴趣。</w:t>
            </w:r>
          </w:p>
        </w:tc>
      </w:tr>
      <w:tr w14:paraId="1BD35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jc w:val="center"/>
        </w:trPr>
        <w:tc>
          <w:tcPr>
            <w:tcW w:w="898" w:type="dxa"/>
            <w:vMerge w:val="continue"/>
          </w:tcPr>
          <w:p w14:paraId="6D5A6B3D">
            <w:pPr>
              <w:pStyle w:val="25"/>
              <w:spacing w:line="320" w:lineRule="exact"/>
              <w:ind w:firstLine="210"/>
              <w:rPr>
                <w:kern w:val="0"/>
              </w:rPr>
            </w:pPr>
          </w:p>
        </w:tc>
        <w:tc>
          <w:tcPr>
            <w:tcW w:w="936" w:type="dxa"/>
            <w:vMerge w:val="restart"/>
            <w:vAlign w:val="center"/>
          </w:tcPr>
          <w:p w14:paraId="78FDBA20">
            <w:pPr>
              <w:pStyle w:val="25"/>
              <w:spacing w:line="320" w:lineRule="exact"/>
              <w:ind w:firstLine="210"/>
              <w:rPr>
                <w:kern w:val="0"/>
              </w:rPr>
            </w:pPr>
          </w:p>
          <w:p w14:paraId="7066BE49">
            <w:pPr>
              <w:jc w:val="center"/>
              <w:rPr>
                <w:rFonts w:ascii="仿宋" w:hAnsi="仿宋" w:eastAsia="仿宋" w:cs="仿宋"/>
                <w:b/>
                <w:bCs/>
                <w:color w:val="000000" w:themeColor="text1"/>
                <w:szCs w:val="21"/>
                <w14:textFill>
                  <w14:solidFill>
                    <w14:schemeClr w14:val="tx1"/>
                  </w14:solidFill>
                </w14:textFill>
              </w:rPr>
            </w:pPr>
            <w:r>
              <w:rPr>
                <w:rFonts w:hint="eastAsia"/>
                <w:kern w:val="0"/>
              </w:rPr>
              <w:t>组合逻辑电路和时序逻辑电路</w:t>
            </w:r>
          </w:p>
        </w:tc>
        <w:tc>
          <w:tcPr>
            <w:tcW w:w="983" w:type="dxa"/>
            <w:vAlign w:val="center"/>
          </w:tcPr>
          <w:p w14:paraId="309EEBEF">
            <w:pPr>
              <w:jc w:val="center"/>
              <w:rPr>
                <w:rFonts w:ascii="仿宋" w:hAnsi="仿宋" w:eastAsia="仿宋" w:cs="仿宋"/>
                <w:b/>
                <w:bCs/>
                <w:color w:val="000000" w:themeColor="text1"/>
                <w:szCs w:val="21"/>
                <w14:textFill>
                  <w14:solidFill>
                    <w14:schemeClr w14:val="tx1"/>
                  </w14:solidFill>
                </w14:textFill>
              </w:rPr>
            </w:pPr>
            <w:r>
              <w:rPr>
                <w:rFonts w:hint="eastAsia"/>
                <w:kern w:val="0"/>
              </w:rPr>
              <w:t>组合逻辑电路</w:t>
            </w:r>
          </w:p>
        </w:tc>
        <w:tc>
          <w:tcPr>
            <w:tcW w:w="2483" w:type="dxa"/>
            <w:vAlign w:val="center"/>
          </w:tcPr>
          <w:p w14:paraId="3CC4CD27">
            <w:pPr>
              <w:pStyle w:val="25"/>
              <w:spacing w:line="320" w:lineRule="exact"/>
              <w:ind w:firstLine="210"/>
              <w:rPr>
                <w:kern w:val="0"/>
              </w:rPr>
            </w:pPr>
            <w:r>
              <w:rPr>
                <w:rFonts w:hint="eastAsia"/>
                <w:kern w:val="0"/>
              </w:rPr>
              <w:t>理解组合逻辑电路的读图方法和步骤；</w:t>
            </w:r>
          </w:p>
          <w:p w14:paraId="5BCDFB93">
            <w:pPr>
              <w:jc w:val="left"/>
              <w:rPr>
                <w:rFonts w:ascii="仿宋" w:hAnsi="仿宋" w:eastAsia="仿宋" w:cs="仿宋"/>
                <w:color w:val="000000" w:themeColor="text1"/>
                <w:szCs w:val="21"/>
                <w14:textFill>
                  <w14:solidFill>
                    <w14:schemeClr w14:val="tx1"/>
                  </w14:solidFill>
                </w14:textFill>
              </w:rPr>
            </w:pPr>
            <w:r>
              <w:rPr>
                <w:rFonts w:hint="eastAsia"/>
                <w:kern w:val="0"/>
              </w:rPr>
              <w:t>了解组合逻辑电路的种类</w:t>
            </w:r>
          </w:p>
        </w:tc>
        <w:tc>
          <w:tcPr>
            <w:tcW w:w="1584" w:type="dxa"/>
          </w:tcPr>
          <w:p w14:paraId="083928BF">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理解组合逻辑电路的读图方法和步骤；</w:t>
            </w:r>
          </w:p>
        </w:tc>
        <w:tc>
          <w:tcPr>
            <w:tcW w:w="1638" w:type="dxa"/>
            <w:vAlign w:val="center"/>
          </w:tcPr>
          <w:p w14:paraId="13DCE1E9">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培养热爱科学、实事求是的科学态度；养成细心观察、认真探索的学习方法；增强自信心，激发兴趣，培养团结协作的团队精神。</w:t>
            </w:r>
          </w:p>
        </w:tc>
      </w:tr>
      <w:tr w14:paraId="6FF31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898" w:type="dxa"/>
            <w:vMerge w:val="continue"/>
          </w:tcPr>
          <w:p w14:paraId="2DDC9423">
            <w:pPr>
              <w:jc w:val="center"/>
              <w:rPr>
                <w:rFonts w:ascii="仿宋" w:hAnsi="仿宋" w:eastAsia="仿宋" w:cs="仿宋"/>
                <w:b/>
                <w:bCs/>
                <w:color w:val="000000" w:themeColor="text1"/>
                <w:szCs w:val="21"/>
                <w14:textFill>
                  <w14:solidFill>
                    <w14:schemeClr w14:val="tx1"/>
                  </w14:solidFill>
                </w14:textFill>
              </w:rPr>
            </w:pPr>
          </w:p>
        </w:tc>
        <w:tc>
          <w:tcPr>
            <w:tcW w:w="936" w:type="dxa"/>
            <w:vMerge w:val="continue"/>
            <w:vAlign w:val="center"/>
          </w:tcPr>
          <w:p w14:paraId="14122B7C">
            <w:pPr>
              <w:jc w:val="center"/>
              <w:rPr>
                <w:rFonts w:ascii="仿宋" w:hAnsi="仿宋" w:eastAsia="仿宋" w:cs="仿宋"/>
                <w:b/>
                <w:bCs/>
                <w:color w:val="000000" w:themeColor="text1"/>
                <w:szCs w:val="21"/>
                <w14:textFill>
                  <w14:solidFill>
                    <w14:schemeClr w14:val="tx1"/>
                  </w14:solidFill>
                </w14:textFill>
              </w:rPr>
            </w:pPr>
          </w:p>
        </w:tc>
        <w:tc>
          <w:tcPr>
            <w:tcW w:w="983" w:type="dxa"/>
            <w:vAlign w:val="center"/>
          </w:tcPr>
          <w:p w14:paraId="181AE4C1">
            <w:pPr>
              <w:jc w:val="center"/>
              <w:rPr>
                <w:rFonts w:ascii="仿宋" w:hAnsi="仿宋" w:eastAsia="仿宋" w:cs="仿宋"/>
                <w:b/>
                <w:bCs/>
                <w:color w:val="000000" w:themeColor="text1"/>
                <w:szCs w:val="21"/>
                <w14:textFill>
                  <w14:solidFill>
                    <w14:schemeClr w14:val="tx1"/>
                  </w14:solidFill>
                </w14:textFill>
              </w:rPr>
            </w:pPr>
            <w:r>
              <w:rPr>
                <w:rFonts w:hint="eastAsia"/>
                <w:kern w:val="0"/>
              </w:rPr>
              <w:t>编码器</w:t>
            </w:r>
          </w:p>
        </w:tc>
        <w:tc>
          <w:tcPr>
            <w:tcW w:w="2483" w:type="dxa"/>
            <w:vAlign w:val="center"/>
          </w:tcPr>
          <w:p w14:paraId="66210343">
            <w:pPr>
              <w:pStyle w:val="25"/>
              <w:spacing w:line="320" w:lineRule="exact"/>
              <w:ind w:firstLine="210"/>
            </w:pPr>
            <w:r>
              <w:rPr>
                <w:rFonts w:hint="eastAsia"/>
                <w:kern w:val="0"/>
              </w:rPr>
              <w:t>了解编码器的基本功能；</w:t>
            </w:r>
          </w:p>
          <w:p w14:paraId="5AC67623">
            <w:pPr>
              <w:jc w:val="left"/>
              <w:rPr>
                <w:rFonts w:ascii="仿宋" w:hAnsi="仿宋" w:eastAsia="仿宋" w:cs="仿宋"/>
                <w:color w:val="000000" w:themeColor="text1"/>
                <w:szCs w:val="21"/>
                <w14:textFill>
                  <w14:solidFill>
                    <w14:schemeClr w14:val="tx1"/>
                  </w14:solidFill>
                </w14:textFill>
              </w:rPr>
            </w:pPr>
            <w:r>
              <w:rPr>
                <w:rFonts w:hint="eastAsia"/>
                <w:spacing w:val="4"/>
                <w:kern w:val="0"/>
              </w:rPr>
              <w:t>了解典型集成编码电路的引脚功能，会根据功能表正确使用</w:t>
            </w:r>
          </w:p>
        </w:tc>
        <w:tc>
          <w:tcPr>
            <w:tcW w:w="1584" w:type="dxa"/>
          </w:tcPr>
          <w:p w14:paraId="0AAEF522">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正确使用编码器</w:t>
            </w:r>
          </w:p>
        </w:tc>
        <w:tc>
          <w:tcPr>
            <w:tcW w:w="1638" w:type="dxa"/>
            <w:vAlign w:val="center"/>
          </w:tcPr>
          <w:p w14:paraId="74FED9B6">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培养热爱科学、实事求是的科学态度；养成细心观察、认真探索的学习方法；增强自信心，激发兴趣；培养精益求精工匠精神。</w:t>
            </w:r>
          </w:p>
        </w:tc>
      </w:tr>
      <w:tr w14:paraId="55C40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jc w:val="center"/>
        </w:trPr>
        <w:tc>
          <w:tcPr>
            <w:tcW w:w="898" w:type="dxa"/>
            <w:vMerge w:val="continue"/>
          </w:tcPr>
          <w:p w14:paraId="64F30533">
            <w:pPr>
              <w:jc w:val="center"/>
              <w:rPr>
                <w:rFonts w:ascii="仿宋" w:hAnsi="仿宋" w:eastAsia="仿宋" w:cs="仿宋"/>
                <w:b/>
                <w:bCs/>
                <w:color w:val="000000" w:themeColor="text1"/>
                <w:szCs w:val="21"/>
                <w14:textFill>
                  <w14:solidFill>
                    <w14:schemeClr w14:val="tx1"/>
                  </w14:solidFill>
                </w14:textFill>
              </w:rPr>
            </w:pPr>
          </w:p>
        </w:tc>
        <w:tc>
          <w:tcPr>
            <w:tcW w:w="936" w:type="dxa"/>
            <w:vMerge w:val="continue"/>
            <w:vAlign w:val="center"/>
          </w:tcPr>
          <w:p w14:paraId="3B7829D1">
            <w:pPr>
              <w:jc w:val="center"/>
              <w:rPr>
                <w:rFonts w:ascii="仿宋" w:hAnsi="仿宋" w:eastAsia="仿宋" w:cs="仿宋"/>
                <w:b/>
                <w:bCs/>
                <w:color w:val="000000" w:themeColor="text1"/>
                <w:szCs w:val="21"/>
                <w14:textFill>
                  <w14:solidFill>
                    <w14:schemeClr w14:val="tx1"/>
                  </w14:solidFill>
                </w14:textFill>
              </w:rPr>
            </w:pPr>
          </w:p>
        </w:tc>
        <w:tc>
          <w:tcPr>
            <w:tcW w:w="983" w:type="dxa"/>
            <w:vAlign w:val="center"/>
          </w:tcPr>
          <w:p w14:paraId="0BE90920">
            <w:pPr>
              <w:jc w:val="center"/>
              <w:rPr>
                <w:rFonts w:ascii="仿宋" w:hAnsi="仿宋" w:eastAsia="仿宋" w:cs="仿宋"/>
                <w:b/>
                <w:bCs/>
                <w:color w:val="000000" w:themeColor="text1"/>
                <w:szCs w:val="21"/>
                <w14:textFill>
                  <w14:solidFill>
                    <w14:schemeClr w14:val="tx1"/>
                  </w14:solidFill>
                </w14:textFill>
              </w:rPr>
            </w:pPr>
            <w:r>
              <w:rPr>
                <w:rFonts w:hint="eastAsia"/>
                <w:kern w:val="0"/>
              </w:rPr>
              <w:t>译码器</w:t>
            </w:r>
          </w:p>
        </w:tc>
        <w:tc>
          <w:tcPr>
            <w:tcW w:w="2483" w:type="dxa"/>
            <w:vAlign w:val="center"/>
          </w:tcPr>
          <w:p w14:paraId="59A6EC02">
            <w:pPr>
              <w:pStyle w:val="25"/>
              <w:spacing w:line="320" w:lineRule="exact"/>
              <w:ind w:firstLine="210"/>
            </w:pPr>
            <w:r>
              <w:rPr>
                <w:rFonts w:hint="eastAsia"/>
                <w:kern w:val="0"/>
              </w:rPr>
              <w:t>了解译码器的基本功能；</w:t>
            </w:r>
          </w:p>
          <w:p w14:paraId="73B8F24C">
            <w:pPr>
              <w:pStyle w:val="25"/>
              <w:spacing w:line="320" w:lineRule="exact"/>
              <w:ind w:firstLine="218"/>
              <w:rPr>
                <w:kern w:val="0"/>
              </w:rPr>
            </w:pPr>
            <w:r>
              <w:rPr>
                <w:rFonts w:hint="eastAsia"/>
                <w:spacing w:val="4"/>
                <w:kern w:val="0"/>
              </w:rPr>
              <w:t>了解典型集成译码电路的引脚功能，会根据功能表正确使用；</w:t>
            </w:r>
          </w:p>
          <w:p w14:paraId="19344B31">
            <w:pPr>
              <w:pStyle w:val="25"/>
              <w:spacing w:line="320" w:lineRule="exact"/>
              <w:ind w:firstLine="210"/>
              <w:rPr>
                <w:kern w:val="0"/>
              </w:rPr>
            </w:pPr>
            <w:r>
              <w:rPr>
                <w:rFonts w:hint="eastAsia"/>
                <w:kern w:val="0"/>
              </w:rPr>
              <w:t>了解半导体数码管的基本结构和工作原理；</w:t>
            </w:r>
          </w:p>
          <w:p w14:paraId="060FCE12">
            <w:pPr>
              <w:jc w:val="left"/>
              <w:rPr>
                <w:rFonts w:ascii="仿宋" w:hAnsi="仿宋" w:eastAsia="仿宋" w:cs="仿宋"/>
                <w:color w:val="000000" w:themeColor="text1"/>
                <w:szCs w:val="21"/>
                <w14:textFill>
                  <w14:solidFill>
                    <w14:schemeClr w14:val="tx1"/>
                  </w14:solidFill>
                </w14:textFill>
              </w:rPr>
            </w:pPr>
            <w:r>
              <w:rPr>
                <w:rFonts w:hint="eastAsia"/>
                <w:kern w:val="0"/>
              </w:rPr>
              <w:t>了解典型集成译码显示器的引脚功能，会根据功能表正确使用</w:t>
            </w:r>
          </w:p>
        </w:tc>
        <w:tc>
          <w:tcPr>
            <w:tcW w:w="1584" w:type="dxa"/>
            <w:vAlign w:val="center"/>
          </w:tcPr>
          <w:p w14:paraId="14D3C0AB">
            <w:pPr>
              <w:pStyle w:val="25"/>
              <w:spacing w:line="320" w:lineRule="exact"/>
              <w:ind w:firstLine="210"/>
            </w:pPr>
            <w:r>
              <w:rPr>
                <w:rFonts w:hint="eastAsia"/>
                <w:kern w:val="0"/>
              </w:rPr>
              <w:t>了解译码器的基本功能；</w:t>
            </w:r>
          </w:p>
          <w:p w14:paraId="1A931CAA">
            <w:pPr>
              <w:pStyle w:val="25"/>
              <w:spacing w:line="320" w:lineRule="exact"/>
              <w:ind w:firstLine="218"/>
              <w:rPr>
                <w:kern w:val="0"/>
              </w:rPr>
            </w:pPr>
            <w:r>
              <w:rPr>
                <w:rFonts w:hint="eastAsia"/>
                <w:spacing w:val="4"/>
                <w:kern w:val="0"/>
              </w:rPr>
              <w:t>了解典型集成译码电路的引脚功能，会根据功能表正确使用；</w:t>
            </w:r>
          </w:p>
          <w:p w14:paraId="18BF769C">
            <w:pPr>
              <w:pStyle w:val="25"/>
              <w:spacing w:line="320" w:lineRule="exact"/>
              <w:ind w:firstLine="210"/>
              <w:rPr>
                <w:kern w:val="0"/>
              </w:rPr>
            </w:pPr>
            <w:r>
              <w:rPr>
                <w:rFonts w:hint="eastAsia"/>
                <w:kern w:val="0"/>
              </w:rPr>
              <w:t>了解半导体数码管的基本结构和工作原理；</w:t>
            </w:r>
          </w:p>
          <w:p w14:paraId="276139EB">
            <w:pPr>
              <w:jc w:val="center"/>
              <w:rPr>
                <w:rFonts w:ascii="仿宋" w:hAnsi="仿宋" w:eastAsia="仿宋" w:cs="仿宋"/>
                <w:color w:val="000000" w:themeColor="text1"/>
                <w:szCs w:val="21"/>
                <w14:textFill>
                  <w14:solidFill>
                    <w14:schemeClr w14:val="tx1"/>
                  </w14:solidFill>
                </w14:textFill>
              </w:rPr>
            </w:pPr>
            <w:r>
              <w:rPr>
                <w:rFonts w:hint="eastAsia"/>
                <w:kern w:val="0"/>
              </w:rPr>
              <w:t>了解典型集成译码显示器的引脚功能，会根据功能表正确使用</w:t>
            </w:r>
          </w:p>
        </w:tc>
        <w:tc>
          <w:tcPr>
            <w:tcW w:w="1638" w:type="dxa"/>
            <w:vAlign w:val="center"/>
          </w:tcPr>
          <w:p w14:paraId="275F67F2">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培养热爱科学、实事求是的科学态度；养成细心观察、认真探索的学习方法；增强自信心，激发兴趣；培养精益求精工匠精神。</w:t>
            </w:r>
          </w:p>
          <w:p w14:paraId="57F7BABF">
            <w:pPr>
              <w:jc w:val="center"/>
              <w:rPr>
                <w:rFonts w:ascii="仿宋" w:hAnsi="仿宋" w:eastAsia="仿宋" w:cs="仿宋"/>
                <w:color w:val="000000" w:themeColor="text1"/>
                <w:szCs w:val="21"/>
                <w14:textFill>
                  <w14:solidFill>
                    <w14:schemeClr w14:val="tx1"/>
                  </w14:solidFill>
                </w14:textFill>
              </w:rPr>
            </w:pPr>
          </w:p>
        </w:tc>
      </w:tr>
      <w:tr w14:paraId="78C26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898" w:type="dxa"/>
            <w:vMerge w:val="continue"/>
          </w:tcPr>
          <w:p w14:paraId="67C02F4B">
            <w:pPr>
              <w:jc w:val="center"/>
              <w:rPr>
                <w:rFonts w:ascii="仿宋" w:hAnsi="仿宋" w:eastAsia="仿宋" w:cs="仿宋"/>
                <w:b/>
                <w:bCs/>
                <w:color w:val="000000" w:themeColor="text1"/>
                <w:szCs w:val="21"/>
                <w14:textFill>
                  <w14:solidFill>
                    <w14:schemeClr w14:val="tx1"/>
                  </w14:solidFill>
                </w14:textFill>
              </w:rPr>
            </w:pPr>
          </w:p>
        </w:tc>
        <w:tc>
          <w:tcPr>
            <w:tcW w:w="936" w:type="dxa"/>
            <w:vMerge w:val="continue"/>
            <w:vAlign w:val="center"/>
          </w:tcPr>
          <w:p w14:paraId="72BD419C">
            <w:pPr>
              <w:jc w:val="center"/>
              <w:rPr>
                <w:rFonts w:ascii="仿宋" w:hAnsi="仿宋" w:eastAsia="仿宋" w:cs="仿宋"/>
                <w:b/>
                <w:bCs/>
                <w:color w:val="000000" w:themeColor="text1"/>
                <w:szCs w:val="21"/>
                <w14:textFill>
                  <w14:solidFill>
                    <w14:schemeClr w14:val="tx1"/>
                  </w14:solidFill>
                </w14:textFill>
              </w:rPr>
            </w:pPr>
          </w:p>
        </w:tc>
        <w:tc>
          <w:tcPr>
            <w:tcW w:w="983" w:type="dxa"/>
            <w:vAlign w:val="center"/>
          </w:tcPr>
          <w:p w14:paraId="618AFE2C">
            <w:pPr>
              <w:jc w:val="center"/>
              <w:rPr>
                <w:rFonts w:ascii="仿宋" w:hAnsi="仿宋" w:eastAsia="仿宋" w:cs="仿宋"/>
                <w:b/>
                <w:bCs/>
                <w:color w:val="000000" w:themeColor="text1"/>
                <w:szCs w:val="21"/>
                <w14:textFill>
                  <w14:solidFill>
                    <w14:schemeClr w14:val="tx1"/>
                  </w14:solidFill>
                </w14:textFill>
              </w:rPr>
            </w:pPr>
            <w:r>
              <w:rPr>
                <w:rFonts w:hint="eastAsia"/>
                <w:kern w:val="0"/>
              </w:rPr>
              <w:t>触发器</w:t>
            </w:r>
          </w:p>
        </w:tc>
        <w:tc>
          <w:tcPr>
            <w:tcW w:w="2483" w:type="dxa"/>
            <w:vAlign w:val="center"/>
          </w:tcPr>
          <w:p w14:paraId="1FFE4991">
            <w:pPr>
              <w:pStyle w:val="25"/>
              <w:spacing w:line="320" w:lineRule="exact"/>
              <w:ind w:firstLine="210"/>
              <w:rPr>
                <w:kern w:val="0"/>
              </w:rPr>
            </w:pPr>
            <w:r>
              <w:rPr>
                <w:rFonts w:hint="eastAsia"/>
                <w:kern w:val="0"/>
              </w:rPr>
              <w:t>了解基本RS触发器的电路组成，可通过实验体验RS触发器所能实现的逻辑功能；</w:t>
            </w:r>
          </w:p>
          <w:p w14:paraId="2C45CB9B">
            <w:pPr>
              <w:jc w:val="left"/>
              <w:rPr>
                <w:rFonts w:ascii="仿宋" w:hAnsi="仿宋" w:eastAsia="仿宋" w:cs="仿宋"/>
                <w:color w:val="000000" w:themeColor="text1"/>
                <w:szCs w:val="21"/>
                <w14:textFill>
                  <w14:solidFill>
                    <w14:schemeClr w14:val="tx1"/>
                  </w14:solidFill>
                </w14:textFill>
              </w:rPr>
            </w:pPr>
            <w:r>
              <w:rPr>
                <w:rFonts w:hint="eastAsia"/>
                <w:kern w:val="0"/>
              </w:rPr>
              <w:t>了解同步RS触发器的特点、时钟脉冲的作用，了解其逻辑功能，会搭接RS触发器电子控制电路</w:t>
            </w:r>
          </w:p>
        </w:tc>
        <w:tc>
          <w:tcPr>
            <w:tcW w:w="1584" w:type="dxa"/>
            <w:vAlign w:val="center"/>
          </w:tcPr>
          <w:p w14:paraId="24890E20">
            <w:pPr>
              <w:pStyle w:val="25"/>
              <w:spacing w:line="320" w:lineRule="exact"/>
              <w:ind w:firstLine="210"/>
              <w:rPr>
                <w:kern w:val="0"/>
              </w:rPr>
            </w:pPr>
            <w:r>
              <w:rPr>
                <w:rFonts w:hint="eastAsia"/>
                <w:kern w:val="0"/>
              </w:rPr>
              <w:t>了解基本RS触发器的电路组成，可通过实验体验RS触发器所能实现的逻辑功能；</w:t>
            </w:r>
          </w:p>
          <w:p w14:paraId="0CA0C930">
            <w:pPr>
              <w:jc w:val="center"/>
              <w:rPr>
                <w:rFonts w:ascii="仿宋" w:hAnsi="仿宋" w:eastAsia="仿宋" w:cs="仿宋"/>
                <w:color w:val="000000" w:themeColor="text1"/>
                <w:szCs w:val="21"/>
                <w14:textFill>
                  <w14:solidFill>
                    <w14:schemeClr w14:val="tx1"/>
                  </w14:solidFill>
                </w14:textFill>
              </w:rPr>
            </w:pPr>
            <w:r>
              <w:rPr>
                <w:rFonts w:hint="eastAsia"/>
                <w:kern w:val="0"/>
              </w:rPr>
              <w:t>了解同步RS触发器的特点、时钟脉冲的作用，了解其逻辑功能，会搭接RS触发器电子控制电路</w:t>
            </w:r>
          </w:p>
        </w:tc>
        <w:tc>
          <w:tcPr>
            <w:tcW w:w="1638" w:type="dxa"/>
            <w:vAlign w:val="center"/>
          </w:tcPr>
          <w:p w14:paraId="0F52DBAE">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培养热爱科学、实事求是的科学态度；养成细心观察、认真探索的学习方法；增强自信心，激发兴趣；培养精益求精工匠精神。</w:t>
            </w:r>
          </w:p>
        </w:tc>
      </w:tr>
      <w:tr w14:paraId="544BC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898" w:type="dxa"/>
            <w:vMerge w:val="continue"/>
          </w:tcPr>
          <w:p w14:paraId="7039DB01">
            <w:pPr>
              <w:jc w:val="center"/>
              <w:rPr>
                <w:rFonts w:ascii="仿宋" w:hAnsi="仿宋" w:eastAsia="仿宋" w:cs="仿宋"/>
                <w:b/>
                <w:bCs/>
                <w:color w:val="000000" w:themeColor="text1"/>
                <w:szCs w:val="21"/>
                <w14:textFill>
                  <w14:solidFill>
                    <w14:schemeClr w14:val="tx1"/>
                  </w14:solidFill>
                </w14:textFill>
              </w:rPr>
            </w:pPr>
          </w:p>
        </w:tc>
        <w:tc>
          <w:tcPr>
            <w:tcW w:w="936" w:type="dxa"/>
            <w:vMerge w:val="continue"/>
            <w:vAlign w:val="center"/>
          </w:tcPr>
          <w:p w14:paraId="3BD36BB0">
            <w:pPr>
              <w:jc w:val="center"/>
              <w:rPr>
                <w:rFonts w:ascii="仿宋" w:hAnsi="仿宋" w:eastAsia="仿宋" w:cs="仿宋"/>
                <w:b/>
                <w:bCs/>
                <w:color w:val="000000" w:themeColor="text1"/>
                <w:szCs w:val="21"/>
                <w14:textFill>
                  <w14:solidFill>
                    <w14:schemeClr w14:val="tx1"/>
                  </w14:solidFill>
                </w14:textFill>
              </w:rPr>
            </w:pPr>
          </w:p>
        </w:tc>
        <w:tc>
          <w:tcPr>
            <w:tcW w:w="983" w:type="dxa"/>
            <w:vAlign w:val="center"/>
          </w:tcPr>
          <w:p w14:paraId="38D71C00">
            <w:pPr>
              <w:jc w:val="center"/>
              <w:rPr>
                <w:rFonts w:ascii="仿宋" w:hAnsi="仿宋" w:eastAsia="仿宋" w:cs="仿宋"/>
                <w:b/>
                <w:bCs/>
                <w:color w:val="000000" w:themeColor="text1"/>
                <w:szCs w:val="21"/>
                <w14:textFill>
                  <w14:solidFill>
                    <w14:schemeClr w14:val="tx1"/>
                  </w14:solidFill>
                </w14:textFill>
              </w:rPr>
            </w:pPr>
            <w:r>
              <w:rPr>
                <w:rFonts w:hint="eastAsia"/>
                <w:kern w:val="0"/>
              </w:rPr>
              <w:t>寄存器</w:t>
            </w:r>
          </w:p>
        </w:tc>
        <w:tc>
          <w:tcPr>
            <w:tcW w:w="2483" w:type="dxa"/>
            <w:vAlign w:val="center"/>
          </w:tcPr>
          <w:p w14:paraId="7A615C39">
            <w:pPr>
              <w:pStyle w:val="25"/>
              <w:spacing w:line="320" w:lineRule="exact"/>
              <w:ind w:firstLine="210"/>
            </w:pPr>
            <w:r>
              <w:rPr>
                <w:rFonts w:hint="eastAsia"/>
                <w:kern w:val="0"/>
              </w:rPr>
              <w:t>了解寄存器的功能、基本构成和常见类型；</w:t>
            </w:r>
          </w:p>
          <w:p w14:paraId="2F59F668">
            <w:pPr>
              <w:jc w:val="left"/>
              <w:rPr>
                <w:rFonts w:ascii="仿宋" w:hAnsi="仿宋" w:eastAsia="仿宋" w:cs="仿宋"/>
                <w:color w:val="000000" w:themeColor="text1"/>
                <w:szCs w:val="21"/>
                <w14:textFill>
                  <w14:solidFill>
                    <w14:schemeClr w14:val="tx1"/>
                  </w14:solidFill>
                </w14:textFill>
              </w:rPr>
            </w:pPr>
            <w:r>
              <w:rPr>
                <w:rFonts w:hint="eastAsia"/>
                <w:kern w:val="0"/>
              </w:rPr>
              <w:t>结合集成移位寄存器典型产品的应用，了解其功能及工作过程</w:t>
            </w:r>
          </w:p>
        </w:tc>
        <w:tc>
          <w:tcPr>
            <w:tcW w:w="1584" w:type="dxa"/>
            <w:vAlign w:val="center"/>
          </w:tcPr>
          <w:p w14:paraId="5D3D1554">
            <w:pPr>
              <w:pStyle w:val="25"/>
              <w:spacing w:line="320" w:lineRule="exact"/>
              <w:ind w:firstLine="210"/>
            </w:pPr>
            <w:r>
              <w:rPr>
                <w:rFonts w:hint="eastAsia"/>
                <w:kern w:val="0"/>
              </w:rPr>
              <w:t>了解寄存器的功能、基本构成和常见类型；</w:t>
            </w:r>
          </w:p>
          <w:p w14:paraId="294EB56C">
            <w:pPr>
              <w:jc w:val="center"/>
              <w:rPr>
                <w:rFonts w:ascii="仿宋" w:hAnsi="仿宋" w:eastAsia="仿宋" w:cs="仿宋"/>
                <w:color w:val="000000" w:themeColor="text1"/>
                <w:szCs w:val="21"/>
                <w14:textFill>
                  <w14:solidFill>
                    <w14:schemeClr w14:val="tx1"/>
                  </w14:solidFill>
                </w14:textFill>
              </w:rPr>
            </w:pPr>
            <w:r>
              <w:rPr>
                <w:rFonts w:hint="eastAsia"/>
                <w:kern w:val="0"/>
              </w:rPr>
              <w:t>结合集成移位寄存器典型产品的应用，了解其功能及工作过程</w:t>
            </w:r>
          </w:p>
        </w:tc>
        <w:tc>
          <w:tcPr>
            <w:tcW w:w="1638" w:type="dxa"/>
            <w:vAlign w:val="center"/>
          </w:tcPr>
          <w:p w14:paraId="4B92A835">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培养热爱科学、实事求是的科学态度；养成细心观察、认真探索的学习方法；增强自信心，激发兴趣。</w:t>
            </w:r>
          </w:p>
        </w:tc>
      </w:tr>
      <w:tr w14:paraId="53F3F8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0" w:hRule="atLeast"/>
          <w:jc w:val="center"/>
        </w:trPr>
        <w:tc>
          <w:tcPr>
            <w:tcW w:w="898" w:type="dxa"/>
            <w:vMerge w:val="continue"/>
          </w:tcPr>
          <w:p w14:paraId="1C5B8568">
            <w:pPr>
              <w:jc w:val="center"/>
              <w:rPr>
                <w:rFonts w:ascii="仿宋" w:hAnsi="仿宋" w:eastAsia="仿宋" w:cs="仿宋"/>
                <w:b/>
                <w:bCs/>
                <w:color w:val="000000" w:themeColor="text1"/>
                <w:szCs w:val="21"/>
                <w14:textFill>
                  <w14:solidFill>
                    <w14:schemeClr w14:val="tx1"/>
                  </w14:solidFill>
                </w14:textFill>
              </w:rPr>
            </w:pPr>
          </w:p>
        </w:tc>
        <w:tc>
          <w:tcPr>
            <w:tcW w:w="936" w:type="dxa"/>
            <w:vMerge w:val="continue"/>
            <w:vAlign w:val="center"/>
          </w:tcPr>
          <w:p w14:paraId="46B2850F">
            <w:pPr>
              <w:jc w:val="center"/>
              <w:rPr>
                <w:rFonts w:ascii="仿宋" w:hAnsi="仿宋" w:eastAsia="仿宋" w:cs="仿宋"/>
                <w:b/>
                <w:bCs/>
                <w:color w:val="000000" w:themeColor="text1"/>
                <w:szCs w:val="21"/>
                <w14:textFill>
                  <w14:solidFill>
                    <w14:schemeClr w14:val="tx1"/>
                  </w14:solidFill>
                </w14:textFill>
              </w:rPr>
            </w:pPr>
          </w:p>
        </w:tc>
        <w:tc>
          <w:tcPr>
            <w:tcW w:w="983" w:type="dxa"/>
            <w:vAlign w:val="center"/>
          </w:tcPr>
          <w:p w14:paraId="49A77CA5">
            <w:pPr>
              <w:jc w:val="center"/>
              <w:rPr>
                <w:rFonts w:ascii="仿宋" w:hAnsi="仿宋" w:eastAsia="仿宋" w:cs="仿宋"/>
                <w:b/>
                <w:bCs/>
                <w:color w:val="000000" w:themeColor="text1"/>
                <w:szCs w:val="21"/>
                <w14:textFill>
                  <w14:solidFill>
                    <w14:schemeClr w14:val="tx1"/>
                  </w14:solidFill>
                </w14:textFill>
              </w:rPr>
            </w:pPr>
            <w:r>
              <w:rPr>
                <w:rFonts w:hint="eastAsia"/>
                <w:kern w:val="0"/>
              </w:rPr>
              <w:t>计数器</w:t>
            </w:r>
          </w:p>
        </w:tc>
        <w:tc>
          <w:tcPr>
            <w:tcW w:w="2483" w:type="dxa"/>
            <w:vAlign w:val="center"/>
          </w:tcPr>
          <w:p w14:paraId="2B0B2ECE">
            <w:pPr>
              <w:pStyle w:val="25"/>
              <w:spacing w:line="320" w:lineRule="exact"/>
              <w:ind w:firstLine="210"/>
              <w:rPr>
                <w:kern w:val="0"/>
              </w:rPr>
            </w:pPr>
            <w:r>
              <w:rPr>
                <w:rFonts w:hint="eastAsia"/>
                <w:kern w:val="0"/>
              </w:rPr>
              <w:t>了解计数器的功能及计数器的类型；</w:t>
            </w:r>
          </w:p>
          <w:p w14:paraId="3965AADF">
            <w:pPr>
              <w:jc w:val="left"/>
              <w:rPr>
                <w:rFonts w:ascii="仿宋" w:hAnsi="仿宋" w:eastAsia="仿宋" w:cs="仿宋"/>
                <w:color w:val="000000" w:themeColor="text1"/>
                <w:szCs w:val="21"/>
                <w14:textFill>
                  <w14:solidFill>
                    <w14:schemeClr w14:val="tx1"/>
                  </w14:solidFill>
                </w14:textFill>
              </w:rPr>
            </w:pPr>
            <w:r>
              <w:rPr>
                <w:rFonts w:hint="eastAsia"/>
                <w:kern w:val="0"/>
              </w:rPr>
              <w:t>理解二进制、十进制等典型集成计数器的外特性，掌握其应用</w:t>
            </w:r>
          </w:p>
        </w:tc>
        <w:tc>
          <w:tcPr>
            <w:tcW w:w="1584" w:type="dxa"/>
            <w:vAlign w:val="center"/>
          </w:tcPr>
          <w:p w14:paraId="32F5BBA7">
            <w:pPr>
              <w:pStyle w:val="25"/>
              <w:spacing w:line="320" w:lineRule="exact"/>
              <w:ind w:firstLine="210"/>
              <w:rPr>
                <w:kern w:val="0"/>
              </w:rPr>
            </w:pPr>
            <w:r>
              <w:rPr>
                <w:rFonts w:hint="eastAsia"/>
                <w:kern w:val="0"/>
              </w:rPr>
              <w:t>了解计数器的功能及计数器的类型；</w:t>
            </w:r>
          </w:p>
          <w:p w14:paraId="0C58FA31">
            <w:pPr>
              <w:jc w:val="center"/>
              <w:rPr>
                <w:rFonts w:ascii="仿宋" w:hAnsi="仿宋" w:eastAsia="仿宋" w:cs="仿宋"/>
                <w:color w:val="000000" w:themeColor="text1"/>
                <w:szCs w:val="21"/>
                <w14:textFill>
                  <w14:solidFill>
                    <w14:schemeClr w14:val="tx1"/>
                  </w14:solidFill>
                </w14:textFill>
              </w:rPr>
            </w:pPr>
            <w:r>
              <w:rPr>
                <w:rFonts w:hint="eastAsia"/>
                <w:kern w:val="0"/>
              </w:rPr>
              <w:t>理解二进制、十进制等典型集成计数器的外特性，掌握其应用</w:t>
            </w:r>
          </w:p>
        </w:tc>
        <w:tc>
          <w:tcPr>
            <w:tcW w:w="1638" w:type="dxa"/>
            <w:vAlign w:val="center"/>
          </w:tcPr>
          <w:p w14:paraId="4C82E0B9">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培养热爱科学、实事求是的科学态度；养成细心观察、认真探索的学习方法；增强自信心，激发兴趣。</w:t>
            </w:r>
          </w:p>
        </w:tc>
      </w:tr>
    </w:tbl>
    <w:p w14:paraId="615C0516">
      <w:pPr>
        <w:numPr>
          <w:ilvl w:val="0"/>
          <w:numId w:val="2"/>
        </w:numPr>
        <w:outlineLvl w:val="0"/>
        <w:rPr>
          <w:rFonts w:ascii="黑体" w:hAnsi="黑体" w:eastAsia="黑体" w:cs="黑体"/>
          <w:color w:val="000000" w:themeColor="text1"/>
          <w:sz w:val="28"/>
          <w:szCs w:val="28"/>
          <w14:textFill>
            <w14:solidFill>
              <w14:schemeClr w14:val="tx1"/>
            </w14:solidFill>
          </w14:textFill>
        </w:rPr>
        <w:sectPr>
          <w:pgSz w:w="11906" w:h="16838"/>
          <w:pgMar w:top="1440" w:right="1800" w:bottom="1440" w:left="1800" w:header="851" w:footer="992" w:gutter="0"/>
          <w:cols w:space="425" w:num="1"/>
          <w:titlePg/>
          <w:docGrid w:type="lines" w:linePitch="312" w:charSpace="0"/>
        </w:sectPr>
      </w:pPr>
    </w:p>
    <w:p w14:paraId="1690F6CE">
      <w:pPr>
        <w:numPr>
          <w:ilvl w:val="0"/>
          <w:numId w:val="2"/>
        </w:numPr>
        <w:outlineLvl w:val="0"/>
        <w:rPr>
          <w:rFonts w:ascii="黑体" w:hAnsi="黑体" w:eastAsia="黑体" w:cs="黑体"/>
          <w:color w:val="000000" w:themeColor="text1"/>
          <w:sz w:val="28"/>
          <w:szCs w:val="28"/>
          <w14:textFill>
            <w14:solidFill>
              <w14:schemeClr w14:val="tx1"/>
            </w14:solidFill>
          </w14:textFill>
        </w:rPr>
      </w:pPr>
      <w:bookmarkStart w:id="13" w:name="_Toc171066600"/>
      <w:r>
        <w:rPr>
          <w:rFonts w:hint="eastAsia" w:ascii="黑体" w:hAnsi="黑体" w:eastAsia="黑体" w:cs="黑体"/>
          <w:color w:val="000000" w:themeColor="text1"/>
          <w:sz w:val="28"/>
          <w:szCs w:val="28"/>
          <w14:textFill>
            <w14:solidFill>
              <w14:schemeClr w14:val="tx1"/>
            </w14:solidFill>
          </w14:textFill>
        </w:rPr>
        <w:t>学生考核与评价</w:t>
      </w:r>
      <w:bookmarkEnd w:id="13"/>
    </w:p>
    <w:p w14:paraId="5258EAEB">
      <w:pPr>
        <w:spacing w:line="360" w:lineRule="auto"/>
        <w:ind w:firstLine="480" w:firstLineChars="20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《电工电子技术基础》综合评价见表3。</w:t>
      </w:r>
    </w:p>
    <w:p w14:paraId="3839080C">
      <w:pPr>
        <w:pStyle w:val="3"/>
        <w:jc w:val="center"/>
        <w:rPr>
          <w:rFonts w:ascii="仿宋" w:hAnsi="仿宋" w:eastAsia="仿宋" w:cs="仿宋"/>
          <w:b/>
          <w:bCs/>
          <w:color w:val="000000" w:themeColor="text1"/>
          <w:sz w:val="21"/>
          <w:szCs w:val="21"/>
          <w14:textFill>
            <w14:solidFill>
              <w14:schemeClr w14:val="tx1"/>
            </w14:solidFill>
          </w14:textFill>
        </w:rPr>
      </w:pPr>
      <w:r>
        <w:rPr>
          <w:rFonts w:hint="eastAsia" w:ascii="仿宋" w:hAnsi="仿宋" w:eastAsia="仿宋" w:cs="仿宋"/>
          <w:b/>
          <w:bCs/>
          <w:color w:val="000000" w:themeColor="text1"/>
          <w:sz w:val="21"/>
          <w:szCs w:val="21"/>
          <w14:textFill>
            <w14:solidFill>
              <w14:schemeClr w14:val="tx1"/>
            </w14:solidFill>
          </w14:textFill>
        </w:rPr>
        <w:t xml:space="preserve">表 </w:t>
      </w:r>
      <w:r>
        <w:rPr>
          <w:rFonts w:hint="eastAsia" w:ascii="仿宋" w:hAnsi="仿宋" w:eastAsia="仿宋" w:cs="仿宋"/>
          <w:b/>
          <w:bCs/>
          <w:color w:val="000000" w:themeColor="text1"/>
          <w:sz w:val="21"/>
          <w:szCs w:val="21"/>
          <w14:textFill>
            <w14:solidFill>
              <w14:schemeClr w14:val="tx1"/>
            </w14:solidFill>
          </w14:textFill>
        </w:rPr>
        <w:fldChar w:fldCharType="begin"/>
      </w:r>
      <w:r>
        <w:rPr>
          <w:rFonts w:hint="eastAsia" w:ascii="仿宋" w:hAnsi="仿宋" w:eastAsia="仿宋" w:cs="仿宋"/>
          <w:b/>
          <w:bCs/>
          <w:color w:val="000000" w:themeColor="text1"/>
          <w:sz w:val="21"/>
          <w:szCs w:val="21"/>
          <w14:textFill>
            <w14:solidFill>
              <w14:schemeClr w14:val="tx1"/>
            </w14:solidFill>
          </w14:textFill>
        </w:rPr>
        <w:instrText xml:space="preserve"> SEQ 表 \* ARABIC </w:instrText>
      </w:r>
      <w:r>
        <w:rPr>
          <w:rFonts w:hint="eastAsia" w:ascii="仿宋" w:hAnsi="仿宋" w:eastAsia="仿宋" w:cs="仿宋"/>
          <w:b/>
          <w:bCs/>
          <w:color w:val="000000" w:themeColor="text1"/>
          <w:sz w:val="21"/>
          <w:szCs w:val="21"/>
          <w14:textFill>
            <w14:solidFill>
              <w14:schemeClr w14:val="tx1"/>
            </w14:solidFill>
          </w14:textFill>
        </w:rPr>
        <w:fldChar w:fldCharType="separate"/>
      </w:r>
      <w:r>
        <w:rPr>
          <w:rFonts w:hint="eastAsia" w:ascii="仿宋" w:hAnsi="仿宋" w:eastAsia="仿宋" w:cs="仿宋"/>
          <w:b/>
          <w:bCs/>
          <w:color w:val="000000" w:themeColor="text1"/>
          <w:sz w:val="21"/>
          <w:szCs w:val="21"/>
          <w14:textFill>
            <w14:solidFill>
              <w14:schemeClr w14:val="tx1"/>
            </w14:solidFill>
          </w14:textFill>
        </w:rPr>
        <w:t>3</w:t>
      </w:r>
      <w:r>
        <w:rPr>
          <w:rFonts w:hint="eastAsia" w:ascii="仿宋" w:hAnsi="仿宋" w:eastAsia="仿宋" w:cs="仿宋"/>
          <w:b/>
          <w:bCs/>
          <w:color w:val="000000" w:themeColor="text1"/>
          <w:sz w:val="21"/>
          <w:szCs w:val="21"/>
          <w14:textFill>
            <w14:solidFill>
              <w14:schemeClr w14:val="tx1"/>
            </w14:solidFill>
          </w14:textFill>
        </w:rPr>
        <w:fldChar w:fldCharType="end"/>
      </w:r>
      <w:r>
        <w:rPr>
          <w:rFonts w:hint="eastAsia" w:ascii="仿宋" w:hAnsi="仿宋" w:eastAsia="仿宋" w:cs="仿宋"/>
          <w:b/>
          <w:bCs/>
          <w:color w:val="000000" w:themeColor="text1"/>
          <w:sz w:val="21"/>
          <w:szCs w:val="21"/>
          <w14:textFill>
            <w14:solidFill>
              <w14:schemeClr w14:val="tx1"/>
            </w14:solidFill>
          </w14:textFill>
        </w:rPr>
        <w:t xml:space="preserve"> 课程综合评价指标</w:t>
      </w:r>
    </w:p>
    <w:tbl>
      <w:tblPr>
        <w:tblStyle w:val="11"/>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3"/>
        <w:gridCol w:w="5342"/>
        <w:gridCol w:w="1266"/>
        <w:gridCol w:w="1041"/>
      </w:tblGrid>
      <w:tr w14:paraId="6901B1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1" w:hRule="atLeast"/>
          <w:jc w:val="center"/>
        </w:trPr>
        <w:tc>
          <w:tcPr>
            <w:tcW w:w="512" w:type="pct"/>
            <w:vAlign w:val="center"/>
          </w:tcPr>
          <w:p w14:paraId="7EF6838E">
            <w:pPr>
              <w:pStyle w:val="18"/>
              <w:rPr>
                <w:color w:val="000000" w:themeColor="text1"/>
                <w14:textFill>
                  <w14:solidFill>
                    <w14:schemeClr w14:val="tx1"/>
                  </w14:solidFill>
                </w14:textFill>
              </w:rPr>
            </w:pPr>
            <w:r>
              <w:rPr>
                <w:rFonts w:hint="eastAsia"/>
                <w:color w:val="000000" w:themeColor="text1"/>
                <w14:textFill>
                  <w14:solidFill>
                    <w14:schemeClr w14:val="tx1"/>
                  </w14:solidFill>
                </w14:textFill>
              </w:rPr>
              <w:t>评价</w:t>
            </w:r>
          </w:p>
          <w:p w14:paraId="5221DE90">
            <w:pPr>
              <w:pStyle w:val="18"/>
              <w:rPr>
                <w:color w:val="000000" w:themeColor="text1"/>
                <w14:textFill>
                  <w14:solidFill>
                    <w14:schemeClr w14:val="tx1"/>
                  </w14:solidFill>
                </w14:textFill>
              </w:rPr>
            </w:pPr>
            <w:r>
              <w:rPr>
                <w:rFonts w:hint="eastAsia"/>
                <w:color w:val="000000" w:themeColor="text1"/>
                <w14:textFill>
                  <w14:solidFill>
                    <w14:schemeClr w14:val="tx1"/>
                  </w14:solidFill>
                </w14:textFill>
              </w:rPr>
              <w:t>项目</w:t>
            </w:r>
          </w:p>
        </w:tc>
        <w:tc>
          <w:tcPr>
            <w:tcW w:w="3134" w:type="pct"/>
            <w:vAlign w:val="center"/>
          </w:tcPr>
          <w:p w14:paraId="78641D71">
            <w:pPr>
              <w:pStyle w:val="18"/>
              <w:rPr>
                <w:color w:val="000000" w:themeColor="text1"/>
                <w14:textFill>
                  <w14:solidFill>
                    <w14:schemeClr w14:val="tx1"/>
                  </w14:solidFill>
                </w14:textFill>
              </w:rPr>
            </w:pPr>
            <w:r>
              <w:rPr>
                <w:rFonts w:hint="eastAsia"/>
                <w:color w:val="000000" w:themeColor="text1"/>
                <w14:textFill>
                  <w14:solidFill>
                    <w14:schemeClr w14:val="tx1"/>
                  </w14:solidFill>
                </w14:textFill>
              </w:rPr>
              <w:t>评价内容</w:t>
            </w:r>
          </w:p>
        </w:tc>
        <w:tc>
          <w:tcPr>
            <w:tcW w:w="743" w:type="pct"/>
            <w:vAlign w:val="center"/>
          </w:tcPr>
          <w:p w14:paraId="33CA5DCE">
            <w:pPr>
              <w:pStyle w:val="18"/>
              <w:rPr>
                <w:color w:val="000000" w:themeColor="text1"/>
                <w14:textFill>
                  <w14:solidFill>
                    <w14:schemeClr w14:val="tx1"/>
                  </w14:solidFill>
                </w14:textFill>
              </w:rPr>
            </w:pPr>
            <w:r>
              <w:rPr>
                <w:rFonts w:hint="eastAsia"/>
                <w:color w:val="000000" w:themeColor="text1"/>
                <w14:textFill>
                  <w14:solidFill>
                    <w14:schemeClr w14:val="tx1"/>
                  </w14:solidFill>
                </w14:textFill>
              </w:rPr>
              <w:t>权重（%）</w:t>
            </w:r>
          </w:p>
        </w:tc>
        <w:tc>
          <w:tcPr>
            <w:tcW w:w="611" w:type="pct"/>
            <w:vAlign w:val="center"/>
          </w:tcPr>
          <w:p w14:paraId="757D7516">
            <w:pPr>
              <w:pStyle w:val="18"/>
              <w:rPr>
                <w:color w:val="000000" w:themeColor="text1"/>
                <w14:textFill>
                  <w14:solidFill>
                    <w14:schemeClr w14:val="tx1"/>
                  </w14:solidFill>
                </w14:textFill>
              </w:rPr>
            </w:pPr>
            <w:r>
              <w:rPr>
                <w:rFonts w:hint="eastAsia"/>
                <w:color w:val="000000" w:themeColor="text1"/>
                <w14:textFill>
                  <w14:solidFill>
                    <w14:schemeClr w14:val="tx1"/>
                  </w14:solidFill>
                </w14:textFill>
              </w:rPr>
              <w:t>总比例</w:t>
            </w:r>
          </w:p>
        </w:tc>
      </w:tr>
      <w:tr w14:paraId="22AEF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jc w:val="center"/>
        </w:trPr>
        <w:tc>
          <w:tcPr>
            <w:tcW w:w="512" w:type="pct"/>
            <w:vMerge w:val="restart"/>
            <w:vAlign w:val="center"/>
          </w:tcPr>
          <w:p w14:paraId="00F9993A">
            <w:pPr>
              <w:pStyle w:val="18"/>
              <w:rPr>
                <w:color w:val="000000" w:themeColor="text1"/>
                <w14:textFill>
                  <w14:solidFill>
                    <w14:schemeClr w14:val="tx1"/>
                  </w14:solidFill>
                </w14:textFill>
              </w:rPr>
            </w:pPr>
            <w:r>
              <w:rPr>
                <w:rFonts w:hint="eastAsia"/>
                <w:color w:val="000000" w:themeColor="text1"/>
                <w14:textFill>
                  <w14:solidFill>
                    <w14:schemeClr w14:val="tx1"/>
                  </w14:solidFill>
                </w14:textFill>
              </w:rPr>
              <w:t>平时</w:t>
            </w:r>
          </w:p>
        </w:tc>
        <w:tc>
          <w:tcPr>
            <w:tcW w:w="3134" w:type="pct"/>
            <w:vAlign w:val="center"/>
          </w:tcPr>
          <w:p w14:paraId="027809A9">
            <w:pPr>
              <w:pStyle w:val="18"/>
              <w:rPr>
                <w:color w:val="000000" w:themeColor="text1"/>
                <w14:textFill>
                  <w14:solidFill>
                    <w14:schemeClr w14:val="tx1"/>
                  </w14:solidFill>
                </w14:textFill>
              </w:rPr>
            </w:pPr>
            <w:r>
              <w:rPr>
                <w:rFonts w:hint="eastAsia"/>
                <w:color w:val="000000" w:themeColor="text1"/>
                <w14:textFill>
                  <w14:solidFill>
                    <w14:schemeClr w14:val="tx1"/>
                  </w14:solidFill>
                </w14:textFill>
              </w:rPr>
              <w:t>学习态度、课堂纪律、考勤</w:t>
            </w:r>
          </w:p>
        </w:tc>
        <w:tc>
          <w:tcPr>
            <w:tcW w:w="743" w:type="pct"/>
            <w:vAlign w:val="center"/>
          </w:tcPr>
          <w:p w14:paraId="521745BA">
            <w:pPr>
              <w:pStyle w:val="18"/>
              <w:rPr>
                <w:color w:val="000000" w:themeColor="text1"/>
                <w14:textFill>
                  <w14:solidFill>
                    <w14:schemeClr w14:val="tx1"/>
                  </w14:solidFill>
                </w14:textFill>
              </w:rPr>
            </w:pPr>
            <w:r>
              <w:rPr>
                <w:color w:val="000000" w:themeColor="text1"/>
                <w14:textFill>
                  <w14:solidFill>
                    <w14:schemeClr w14:val="tx1"/>
                  </w14:solidFill>
                </w14:textFill>
              </w:rPr>
              <w:t>5</w:t>
            </w:r>
          </w:p>
        </w:tc>
        <w:tc>
          <w:tcPr>
            <w:tcW w:w="611" w:type="pct"/>
            <w:vMerge w:val="restart"/>
            <w:vAlign w:val="center"/>
          </w:tcPr>
          <w:p w14:paraId="61DAD1C9">
            <w:pPr>
              <w:pStyle w:val="18"/>
              <w:rPr>
                <w:color w:val="000000" w:themeColor="text1"/>
                <w14:textFill>
                  <w14:solidFill>
                    <w14:schemeClr w14:val="tx1"/>
                  </w14:solidFill>
                </w14:textFill>
              </w:rPr>
            </w:pPr>
            <w:r>
              <w:rPr>
                <w:rFonts w:hint="eastAsia"/>
                <w:color w:val="000000" w:themeColor="text1"/>
                <w14:textFill>
                  <w14:solidFill>
                    <w14:schemeClr w14:val="tx1"/>
                  </w14:solidFill>
                </w14:textFill>
              </w:rPr>
              <w:t>1</w:t>
            </w:r>
            <w:r>
              <w:rPr>
                <w:color w:val="000000" w:themeColor="text1"/>
                <w14:textFill>
                  <w14:solidFill>
                    <w14:schemeClr w14:val="tx1"/>
                  </w14:solidFill>
                </w14:textFill>
              </w:rPr>
              <w:t>5</w:t>
            </w:r>
            <w:r>
              <w:rPr>
                <w:rFonts w:hint="eastAsia"/>
                <w:color w:val="000000" w:themeColor="text1"/>
                <w14:textFill>
                  <w14:solidFill>
                    <w14:schemeClr w14:val="tx1"/>
                  </w14:solidFill>
                </w14:textFill>
              </w:rPr>
              <w:t>%</w:t>
            </w:r>
          </w:p>
        </w:tc>
      </w:tr>
      <w:tr w14:paraId="03A8B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6" w:hRule="atLeast"/>
          <w:jc w:val="center"/>
        </w:trPr>
        <w:tc>
          <w:tcPr>
            <w:tcW w:w="512" w:type="pct"/>
            <w:vMerge w:val="continue"/>
            <w:vAlign w:val="center"/>
          </w:tcPr>
          <w:p w14:paraId="1E4F927F">
            <w:pPr>
              <w:pStyle w:val="18"/>
              <w:rPr>
                <w:color w:val="000000" w:themeColor="text1"/>
                <w14:textFill>
                  <w14:solidFill>
                    <w14:schemeClr w14:val="tx1"/>
                  </w14:solidFill>
                </w14:textFill>
              </w:rPr>
            </w:pPr>
          </w:p>
        </w:tc>
        <w:tc>
          <w:tcPr>
            <w:tcW w:w="3134" w:type="pct"/>
            <w:vAlign w:val="center"/>
          </w:tcPr>
          <w:p w14:paraId="6DB3DAD1">
            <w:pPr>
              <w:pStyle w:val="18"/>
              <w:rPr>
                <w:color w:val="000000" w:themeColor="text1"/>
                <w14:textFill>
                  <w14:solidFill>
                    <w14:schemeClr w14:val="tx1"/>
                  </w14:solidFill>
                </w14:textFill>
              </w:rPr>
            </w:pPr>
            <w:r>
              <w:rPr>
                <w:rFonts w:hint="eastAsia"/>
                <w:color w:val="000000" w:themeColor="text1"/>
                <w14:textFill>
                  <w14:solidFill>
                    <w14:schemeClr w14:val="tx1"/>
                  </w14:solidFill>
                </w14:textFill>
              </w:rPr>
              <w:t>思政教育（科学精神 、劳动精神、工匠精神）</w:t>
            </w:r>
          </w:p>
        </w:tc>
        <w:tc>
          <w:tcPr>
            <w:tcW w:w="743" w:type="pct"/>
            <w:vAlign w:val="center"/>
          </w:tcPr>
          <w:p w14:paraId="27DE737F">
            <w:pPr>
              <w:pStyle w:val="18"/>
              <w:rPr>
                <w:color w:val="000000" w:themeColor="text1"/>
                <w14:textFill>
                  <w14:solidFill>
                    <w14:schemeClr w14:val="tx1"/>
                  </w14:solidFill>
                </w14:textFill>
              </w:rPr>
            </w:pPr>
            <w:r>
              <w:rPr>
                <w:rFonts w:hint="eastAsia"/>
                <w:color w:val="000000" w:themeColor="text1"/>
                <w14:textFill>
                  <w14:solidFill>
                    <w14:schemeClr w14:val="tx1"/>
                  </w14:solidFill>
                </w14:textFill>
              </w:rPr>
              <w:t>5</w:t>
            </w:r>
          </w:p>
        </w:tc>
        <w:tc>
          <w:tcPr>
            <w:tcW w:w="611" w:type="pct"/>
            <w:vMerge w:val="continue"/>
          </w:tcPr>
          <w:p w14:paraId="1C019473">
            <w:pPr>
              <w:pStyle w:val="18"/>
              <w:rPr>
                <w:color w:val="000000" w:themeColor="text1"/>
                <w14:textFill>
                  <w14:solidFill>
                    <w14:schemeClr w14:val="tx1"/>
                  </w14:solidFill>
                </w14:textFill>
              </w:rPr>
            </w:pPr>
          </w:p>
        </w:tc>
      </w:tr>
      <w:tr w14:paraId="0264A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jc w:val="center"/>
        </w:trPr>
        <w:tc>
          <w:tcPr>
            <w:tcW w:w="512" w:type="pct"/>
            <w:vMerge w:val="continue"/>
            <w:vAlign w:val="center"/>
          </w:tcPr>
          <w:p w14:paraId="27D99BC6">
            <w:pPr>
              <w:pStyle w:val="18"/>
              <w:rPr>
                <w:color w:val="000000" w:themeColor="text1"/>
                <w14:textFill>
                  <w14:solidFill>
                    <w14:schemeClr w14:val="tx1"/>
                  </w14:solidFill>
                </w14:textFill>
              </w:rPr>
            </w:pPr>
          </w:p>
        </w:tc>
        <w:tc>
          <w:tcPr>
            <w:tcW w:w="3134" w:type="pct"/>
            <w:vAlign w:val="center"/>
          </w:tcPr>
          <w:p w14:paraId="6239B1B3">
            <w:pPr>
              <w:pStyle w:val="18"/>
              <w:rPr>
                <w:color w:val="000000" w:themeColor="text1"/>
                <w14:textFill>
                  <w14:solidFill>
                    <w14:schemeClr w14:val="tx1"/>
                  </w14:solidFill>
                </w14:textFill>
              </w:rPr>
            </w:pPr>
            <w:r>
              <w:rPr>
                <w:rFonts w:hint="eastAsia"/>
                <w:color w:val="000000" w:themeColor="text1"/>
                <w14:textFill>
                  <w14:solidFill>
                    <w14:schemeClr w14:val="tx1"/>
                  </w14:solidFill>
                </w14:textFill>
              </w:rPr>
              <w:t>课堂表现（沟通互动、职业素质、创新能力）</w:t>
            </w:r>
          </w:p>
        </w:tc>
        <w:tc>
          <w:tcPr>
            <w:tcW w:w="743" w:type="pct"/>
            <w:vAlign w:val="center"/>
          </w:tcPr>
          <w:p w14:paraId="5A6317C3">
            <w:pPr>
              <w:pStyle w:val="18"/>
              <w:rPr>
                <w:color w:val="000000" w:themeColor="text1"/>
                <w14:textFill>
                  <w14:solidFill>
                    <w14:schemeClr w14:val="tx1"/>
                  </w14:solidFill>
                </w14:textFill>
              </w:rPr>
            </w:pPr>
            <w:r>
              <w:rPr>
                <w:color w:val="000000" w:themeColor="text1"/>
                <w14:textFill>
                  <w14:solidFill>
                    <w14:schemeClr w14:val="tx1"/>
                  </w14:solidFill>
                </w14:textFill>
              </w:rPr>
              <w:t>5</w:t>
            </w:r>
          </w:p>
        </w:tc>
        <w:tc>
          <w:tcPr>
            <w:tcW w:w="611" w:type="pct"/>
            <w:vMerge w:val="continue"/>
          </w:tcPr>
          <w:p w14:paraId="269377B9">
            <w:pPr>
              <w:pStyle w:val="18"/>
              <w:rPr>
                <w:color w:val="000000" w:themeColor="text1"/>
                <w14:textFill>
                  <w14:solidFill>
                    <w14:schemeClr w14:val="tx1"/>
                  </w14:solidFill>
                </w14:textFill>
              </w:rPr>
            </w:pPr>
          </w:p>
        </w:tc>
      </w:tr>
      <w:tr w14:paraId="6380D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8" w:hRule="atLeast"/>
          <w:jc w:val="center"/>
        </w:trPr>
        <w:tc>
          <w:tcPr>
            <w:tcW w:w="512" w:type="pct"/>
            <w:vMerge w:val="restart"/>
            <w:vAlign w:val="center"/>
          </w:tcPr>
          <w:p w14:paraId="7A0B751E">
            <w:pPr>
              <w:adjustRightInd w:val="0"/>
              <w:snapToGrid w:val="0"/>
              <w:jc w:val="center"/>
              <w:rPr>
                <w:rFonts w:ascii="仿宋" w:hAnsi="仿宋" w:eastAsia="仿宋" w:cs="仿宋"/>
                <w:b/>
                <w:bCs/>
                <w:color w:val="000000" w:themeColor="text1"/>
                <w:kern w:val="0"/>
                <w:szCs w:val="21"/>
                <w14:textFill>
                  <w14:solidFill>
                    <w14:schemeClr w14:val="tx1"/>
                  </w14:solidFill>
                </w14:textFill>
              </w:rPr>
            </w:pPr>
            <w:r>
              <w:rPr>
                <w:rFonts w:hint="eastAsia" w:ascii="仿宋" w:hAnsi="仿宋" w:eastAsia="仿宋" w:cs="仿宋"/>
                <w:b/>
                <w:bCs/>
                <w:color w:val="000000" w:themeColor="text1"/>
                <w:kern w:val="0"/>
                <w:szCs w:val="21"/>
                <w14:textFill>
                  <w14:solidFill>
                    <w14:schemeClr w14:val="tx1"/>
                  </w14:solidFill>
                </w14:textFill>
              </w:rPr>
              <w:t>理论</w:t>
            </w:r>
          </w:p>
        </w:tc>
        <w:tc>
          <w:tcPr>
            <w:tcW w:w="3134" w:type="pct"/>
            <w:vAlign w:val="center"/>
          </w:tcPr>
          <w:p w14:paraId="249900ED">
            <w:pPr>
              <w:adjustRightInd w:val="0"/>
              <w:snapToGrid w:val="0"/>
              <w:jc w:val="center"/>
              <w:rPr>
                <w:rFonts w:ascii="仿宋" w:hAnsi="仿宋" w:eastAsia="仿宋" w:cs="仿宋"/>
                <w:color w:val="000000" w:themeColor="text1"/>
                <w:kern w:val="0"/>
                <w:szCs w:val="21"/>
                <w14:textFill>
                  <w14:solidFill>
                    <w14:schemeClr w14:val="tx1"/>
                  </w14:solidFill>
                </w14:textFill>
              </w:rPr>
            </w:pPr>
            <w:r>
              <w:rPr>
                <w:rFonts w:hint="eastAsia" w:ascii="仿宋" w:hAnsi="仿宋" w:eastAsia="仿宋"/>
                <w:b/>
                <w:bCs/>
                <w:color w:val="000000" w:themeColor="text1"/>
                <w:szCs w:val="21"/>
                <w14:textFill>
                  <w14:solidFill>
                    <w14:schemeClr w14:val="tx1"/>
                  </w14:solidFill>
                </w14:textFill>
              </w:rPr>
              <w:t>理论作业</w:t>
            </w:r>
          </w:p>
        </w:tc>
        <w:tc>
          <w:tcPr>
            <w:tcW w:w="743" w:type="pct"/>
            <w:vAlign w:val="center"/>
          </w:tcPr>
          <w:p w14:paraId="1CC555D9">
            <w:pPr>
              <w:pStyle w:val="18"/>
              <w:rPr>
                <w:color w:val="000000" w:themeColor="text1"/>
                <w14:textFill>
                  <w14:solidFill>
                    <w14:schemeClr w14:val="tx1"/>
                  </w14:solidFill>
                </w14:textFill>
              </w:rPr>
            </w:pPr>
            <w:r>
              <w:rPr>
                <w:rFonts w:hint="eastAsia"/>
                <w:color w:val="000000" w:themeColor="text1"/>
                <w14:textFill>
                  <w14:solidFill>
                    <w14:schemeClr w14:val="tx1"/>
                  </w14:solidFill>
                </w14:textFill>
              </w:rPr>
              <w:t>20</w:t>
            </w:r>
          </w:p>
        </w:tc>
        <w:tc>
          <w:tcPr>
            <w:tcW w:w="611" w:type="pct"/>
            <w:vMerge w:val="restart"/>
            <w:vAlign w:val="center"/>
          </w:tcPr>
          <w:p w14:paraId="597B1FD3">
            <w:pPr>
              <w:pStyle w:val="18"/>
              <w:rPr>
                <w:color w:val="000000" w:themeColor="text1"/>
                <w14:textFill>
                  <w14:solidFill>
                    <w14:schemeClr w14:val="tx1"/>
                  </w14:solidFill>
                </w14:textFill>
              </w:rPr>
            </w:pPr>
            <w:r>
              <w:rPr>
                <w:rFonts w:hint="eastAsia"/>
                <w:color w:val="000000" w:themeColor="text1"/>
                <w14:textFill>
                  <w14:solidFill>
                    <w14:schemeClr w14:val="tx1"/>
                  </w14:solidFill>
                </w14:textFill>
              </w:rPr>
              <w:t>55%</w:t>
            </w:r>
          </w:p>
        </w:tc>
      </w:tr>
      <w:tr w14:paraId="5B86BE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jc w:val="center"/>
        </w:trPr>
        <w:tc>
          <w:tcPr>
            <w:tcW w:w="512" w:type="pct"/>
            <w:vMerge w:val="continue"/>
            <w:vAlign w:val="center"/>
          </w:tcPr>
          <w:p w14:paraId="6009BB63">
            <w:pPr>
              <w:adjustRightInd w:val="0"/>
              <w:snapToGrid w:val="0"/>
              <w:jc w:val="center"/>
              <w:rPr>
                <w:rFonts w:ascii="仿宋" w:hAnsi="仿宋" w:eastAsia="仿宋" w:cs="仿宋"/>
                <w:b/>
                <w:bCs/>
                <w:color w:val="000000" w:themeColor="text1"/>
                <w:szCs w:val="21"/>
                <w14:textFill>
                  <w14:solidFill>
                    <w14:schemeClr w14:val="tx1"/>
                  </w14:solidFill>
                </w14:textFill>
              </w:rPr>
            </w:pPr>
          </w:p>
        </w:tc>
        <w:tc>
          <w:tcPr>
            <w:tcW w:w="3134" w:type="pct"/>
            <w:vAlign w:val="center"/>
          </w:tcPr>
          <w:p w14:paraId="7066B3C8">
            <w:pPr>
              <w:adjustRightInd w:val="0"/>
              <w:snapToGrid w:val="0"/>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olor w:val="000000" w:themeColor="text1"/>
                <w:szCs w:val="21"/>
                <w14:textFill>
                  <w14:solidFill>
                    <w14:schemeClr w14:val="tx1"/>
                  </w14:solidFill>
                </w14:textFill>
              </w:rPr>
              <w:t>项目测验</w:t>
            </w:r>
          </w:p>
        </w:tc>
        <w:tc>
          <w:tcPr>
            <w:tcW w:w="743" w:type="pct"/>
            <w:vAlign w:val="center"/>
          </w:tcPr>
          <w:p w14:paraId="2F0BF24C">
            <w:pPr>
              <w:pStyle w:val="18"/>
              <w:rPr>
                <w:color w:val="000000" w:themeColor="text1"/>
                <w14:textFill>
                  <w14:solidFill>
                    <w14:schemeClr w14:val="tx1"/>
                  </w14:solidFill>
                </w14:textFill>
              </w:rPr>
            </w:pPr>
            <w:r>
              <w:rPr>
                <w:color w:val="000000" w:themeColor="text1"/>
                <w14:textFill>
                  <w14:solidFill>
                    <w14:schemeClr w14:val="tx1"/>
                  </w14:solidFill>
                </w14:textFill>
              </w:rPr>
              <w:t>15</w:t>
            </w:r>
          </w:p>
        </w:tc>
        <w:tc>
          <w:tcPr>
            <w:tcW w:w="611" w:type="pct"/>
            <w:vMerge w:val="continue"/>
          </w:tcPr>
          <w:p w14:paraId="785B2426">
            <w:pPr>
              <w:pStyle w:val="18"/>
              <w:rPr>
                <w:color w:val="000000" w:themeColor="text1"/>
                <w14:textFill>
                  <w14:solidFill>
                    <w14:schemeClr w14:val="tx1"/>
                  </w14:solidFill>
                </w14:textFill>
              </w:rPr>
            </w:pPr>
          </w:p>
        </w:tc>
      </w:tr>
      <w:tr w14:paraId="0536F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512" w:type="pct"/>
            <w:vMerge w:val="continue"/>
            <w:vAlign w:val="center"/>
          </w:tcPr>
          <w:p w14:paraId="5B393A20">
            <w:pPr>
              <w:adjustRightInd w:val="0"/>
              <w:snapToGrid w:val="0"/>
              <w:jc w:val="center"/>
              <w:rPr>
                <w:rFonts w:ascii="仿宋" w:hAnsi="仿宋" w:eastAsia="仿宋" w:cs="仿宋"/>
                <w:b/>
                <w:bCs/>
                <w:color w:val="000000" w:themeColor="text1"/>
                <w:szCs w:val="21"/>
                <w14:textFill>
                  <w14:solidFill>
                    <w14:schemeClr w14:val="tx1"/>
                  </w14:solidFill>
                </w14:textFill>
              </w:rPr>
            </w:pPr>
          </w:p>
        </w:tc>
        <w:tc>
          <w:tcPr>
            <w:tcW w:w="3134" w:type="pct"/>
            <w:vAlign w:val="center"/>
          </w:tcPr>
          <w:p w14:paraId="3D77CFAB">
            <w:pPr>
              <w:pStyle w:val="18"/>
              <w:rPr>
                <w:color w:val="000000" w:themeColor="text1"/>
                <w14:textFill>
                  <w14:solidFill>
                    <w14:schemeClr w14:val="tx1"/>
                  </w14:solidFill>
                </w14:textFill>
              </w:rPr>
            </w:pPr>
            <w:r>
              <w:rPr>
                <w:rFonts w:hint="eastAsia"/>
                <w:color w:val="000000" w:themeColor="text1"/>
                <w14:textFill>
                  <w14:solidFill>
                    <w14:schemeClr w14:val="tx1"/>
                  </w14:solidFill>
                </w14:textFill>
              </w:rPr>
              <w:t>期末考试</w:t>
            </w:r>
          </w:p>
        </w:tc>
        <w:tc>
          <w:tcPr>
            <w:tcW w:w="743" w:type="pct"/>
            <w:vAlign w:val="center"/>
          </w:tcPr>
          <w:p w14:paraId="38669821">
            <w:pPr>
              <w:pStyle w:val="18"/>
              <w:rPr>
                <w:color w:val="000000" w:themeColor="text1"/>
                <w14:textFill>
                  <w14:solidFill>
                    <w14:schemeClr w14:val="tx1"/>
                  </w14:solidFill>
                </w14:textFill>
              </w:rPr>
            </w:pPr>
            <w:r>
              <w:rPr>
                <w:color w:val="000000" w:themeColor="text1"/>
                <w14:textFill>
                  <w14:solidFill>
                    <w14:schemeClr w14:val="tx1"/>
                  </w14:solidFill>
                </w14:textFill>
              </w:rPr>
              <w:t>20</w:t>
            </w:r>
          </w:p>
        </w:tc>
        <w:tc>
          <w:tcPr>
            <w:tcW w:w="611" w:type="pct"/>
            <w:vMerge w:val="continue"/>
          </w:tcPr>
          <w:p w14:paraId="52E70EFE">
            <w:pPr>
              <w:pStyle w:val="18"/>
              <w:rPr>
                <w:color w:val="000000" w:themeColor="text1"/>
                <w14:textFill>
                  <w14:solidFill>
                    <w14:schemeClr w14:val="tx1"/>
                  </w14:solidFill>
                </w14:textFill>
              </w:rPr>
            </w:pPr>
          </w:p>
        </w:tc>
      </w:tr>
      <w:tr w14:paraId="0F9FF3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512" w:type="pct"/>
            <w:vMerge w:val="restart"/>
            <w:vAlign w:val="center"/>
          </w:tcPr>
          <w:p w14:paraId="4440E893">
            <w:pPr>
              <w:pStyle w:val="18"/>
              <w:rPr>
                <w:color w:val="000000" w:themeColor="text1"/>
                <w14:textFill>
                  <w14:solidFill>
                    <w14:schemeClr w14:val="tx1"/>
                  </w14:solidFill>
                </w14:textFill>
              </w:rPr>
            </w:pPr>
            <w:r>
              <w:rPr>
                <w:rFonts w:hint="eastAsia"/>
                <w:color w:val="000000" w:themeColor="text1"/>
                <w14:textFill>
                  <w14:solidFill>
                    <w14:schemeClr w14:val="tx1"/>
                  </w14:solidFill>
                </w14:textFill>
              </w:rPr>
              <w:t>实操</w:t>
            </w:r>
          </w:p>
        </w:tc>
        <w:tc>
          <w:tcPr>
            <w:tcW w:w="3134" w:type="pct"/>
            <w:vAlign w:val="center"/>
          </w:tcPr>
          <w:p w14:paraId="09271B02">
            <w:pPr>
              <w:pStyle w:val="18"/>
              <w:rPr>
                <w:color w:val="000000" w:themeColor="text1"/>
                <w14:textFill>
                  <w14:solidFill>
                    <w14:schemeClr w14:val="tx1"/>
                  </w14:solidFill>
                </w14:textFill>
              </w:rPr>
            </w:pPr>
            <w:r>
              <w:rPr>
                <w:rFonts w:hint="eastAsia"/>
                <w:color w:val="000000" w:themeColor="text1"/>
                <w14:textFill>
                  <w14:solidFill>
                    <w14:schemeClr w14:val="tx1"/>
                  </w14:solidFill>
                </w14:textFill>
              </w:rPr>
              <w:t>安装工艺</w:t>
            </w:r>
          </w:p>
        </w:tc>
        <w:tc>
          <w:tcPr>
            <w:tcW w:w="743" w:type="pct"/>
            <w:vAlign w:val="center"/>
          </w:tcPr>
          <w:p w14:paraId="3C43D9C5">
            <w:pPr>
              <w:pStyle w:val="18"/>
              <w:rPr>
                <w:color w:val="000000" w:themeColor="text1"/>
                <w14:textFill>
                  <w14:solidFill>
                    <w14:schemeClr w14:val="tx1"/>
                  </w14:solidFill>
                </w14:textFill>
              </w:rPr>
            </w:pPr>
            <w:r>
              <w:rPr>
                <w:color w:val="000000" w:themeColor="text1"/>
                <w14:textFill>
                  <w14:solidFill>
                    <w14:schemeClr w14:val="tx1"/>
                  </w14:solidFill>
                </w14:textFill>
              </w:rPr>
              <w:t>10</w:t>
            </w:r>
          </w:p>
        </w:tc>
        <w:tc>
          <w:tcPr>
            <w:tcW w:w="611" w:type="pct"/>
            <w:vMerge w:val="restart"/>
            <w:vAlign w:val="center"/>
          </w:tcPr>
          <w:p w14:paraId="12061D55">
            <w:pPr>
              <w:pStyle w:val="18"/>
              <w:rPr>
                <w:color w:val="000000" w:themeColor="text1"/>
                <w14:textFill>
                  <w14:solidFill>
                    <w14:schemeClr w14:val="tx1"/>
                  </w14:solidFill>
                </w14:textFill>
              </w:rPr>
            </w:pPr>
            <w:r>
              <w:rPr>
                <w:rFonts w:hint="eastAsia"/>
                <w:color w:val="000000" w:themeColor="text1"/>
                <w14:textFill>
                  <w14:solidFill>
                    <w14:schemeClr w14:val="tx1"/>
                  </w14:solidFill>
                </w14:textFill>
              </w:rPr>
              <w:t>3</w:t>
            </w:r>
            <w:r>
              <w:rPr>
                <w:color w:val="000000" w:themeColor="text1"/>
                <w14:textFill>
                  <w14:solidFill>
                    <w14:schemeClr w14:val="tx1"/>
                  </w14:solidFill>
                </w14:textFill>
              </w:rPr>
              <w:t>0</w:t>
            </w:r>
            <w:r>
              <w:rPr>
                <w:rFonts w:hint="eastAsia"/>
                <w:color w:val="000000" w:themeColor="text1"/>
                <w14:textFill>
                  <w14:solidFill>
                    <w14:schemeClr w14:val="tx1"/>
                  </w14:solidFill>
                </w14:textFill>
              </w:rPr>
              <w:t>%</w:t>
            </w:r>
          </w:p>
        </w:tc>
      </w:tr>
      <w:tr w14:paraId="7E137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512" w:type="pct"/>
            <w:vMerge w:val="continue"/>
            <w:vAlign w:val="center"/>
          </w:tcPr>
          <w:p w14:paraId="06451436">
            <w:pPr>
              <w:pStyle w:val="18"/>
              <w:rPr>
                <w:color w:val="000000" w:themeColor="text1"/>
                <w14:textFill>
                  <w14:solidFill>
                    <w14:schemeClr w14:val="tx1"/>
                  </w14:solidFill>
                </w14:textFill>
              </w:rPr>
            </w:pPr>
          </w:p>
        </w:tc>
        <w:tc>
          <w:tcPr>
            <w:tcW w:w="3134" w:type="pct"/>
            <w:vAlign w:val="center"/>
          </w:tcPr>
          <w:p w14:paraId="2325032E">
            <w:pPr>
              <w:pStyle w:val="18"/>
              <w:rPr>
                <w:color w:val="000000" w:themeColor="text1"/>
                <w14:textFill>
                  <w14:solidFill>
                    <w14:schemeClr w14:val="tx1"/>
                  </w14:solidFill>
                </w14:textFill>
              </w:rPr>
            </w:pPr>
            <w:r>
              <w:rPr>
                <w:rFonts w:hint="eastAsia"/>
                <w:color w:val="000000" w:themeColor="text1"/>
                <w14:textFill>
                  <w14:solidFill>
                    <w14:schemeClr w14:val="tx1"/>
                  </w14:solidFill>
                </w14:textFill>
              </w:rPr>
              <w:t>仪器使用</w:t>
            </w:r>
          </w:p>
        </w:tc>
        <w:tc>
          <w:tcPr>
            <w:tcW w:w="743" w:type="pct"/>
            <w:vAlign w:val="center"/>
          </w:tcPr>
          <w:p w14:paraId="5DF7D1F4">
            <w:pPr>
              <w:pStyle w:val="18"/>
              <w:rPr>
                <w:color w:val="000000" w:themeColor="text1"/>
                <w14:textFill>
                  <w14:solidFill>
                    <w14:schemeClr w14:val="tx1"/>
                  </w14:solidFill>
                </w14:textFill>
              </w:rPr>
            </w:pPr>
            <w:r>
              <w:rPr>
                <w:color w:val="000000" w:themeColor="text1"/>
                <w14:textFill>
                  <w14:solidFill>
                    <w14:schemeClr w14:val="tx1"/>
                  </w14:solidFill>
                </w14:textFill>
              </w:rPr>
              <w:t>5</w:t>
            </w:r>
          </w:p>
        </w:tc>
        <w:tc>
          <w:tcPr>
            <w:tcW w:w="611" w:type="pct"/>
            <w:vMerge w:val="continue"/>
          </w:tcPr>
          <w:p w14:paraId="073E5A1B">
            <w:pPr>
              <w:pStyle w:val="18"/>
              <w:rPr>
                <w:color w:val="000000" w:themeColor="text1"/>
                <w14:textFill>
                  <w14:solidFill>
                    <w14:schemeClr w14:val="tx1"/>
                  </w14:solidFill>
                </w14:textFill>
              </w:rPr>
            </w:pPr>
          </w:p>
        </w:tc>
      </w:tr>
      <w:tr w14:paraId="52BAD4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512" w:type="pct"/>
            <w:vMerge w:val="continue"/>
            <w:vAlign w:val="center"/>
          </w:tcPr>
          <w:p w14:paraId="4BC2859F">
            <w:pPr>
              <w:pStyle w:val="18"/>
              <w:rPr>
                <w:color w:val="000000" w:themeColor="text1"/>
                <w14:textFill>
                  <w14:solidFill>
                    <w14:schemeClr w14:val="tx1"/>
                  </w14:solidFill>
                </w14:textFill>
              </w:rPr>
            </w:pPr>
          </w:p>
        </w:tc>
        <w:tc>
          <w:tcPr>
            <w:tcW w:w="3134" w:type="pct"/>
            <w:vAlign w:val="center"/>
          </w:tcPr>
          <w:p w14:paraId="008D001A">
            <w:pPr>
              <w:pStyle w:val="18"/>
              <w:rPr>
                <w:color w:val="000000" w:themeColor="text1"/>
                <w14:textFill>
                  <w14:solidFill>
                    <w14:schemeClr w14:val="tx1"/>
                  </w14:solidFill>
                </w14:textFill>
              </w:rPr>
            </w:pPr>
            <w:r>
              <w:rPr>
                <w:rFonts w:hint="eastAsia"/>
                <w:color w:val="000000" w:themeColor="text1"/>
                <w14:textFill>
                  <w14:solidFill>
                    <w14:schemeClr w14:val="tx1"/>
                  </w14:solidFill>
                </w14:textFill>
              </w:rPr>
              <w:t>电路效果</w:t>
            </w:r>
          </w:p>
        </w:tc>
        <w:tc>
          <w:tcPr>
            <w:tcW w:w="743" w:type="pct"/>
            <w:vAlign w:val="center"/>
          </w:tcPr>
          <w:p w14:paraId="3C49A908">
            <w:pPr>
              <w:pStyle w:val="18"/>
              <w:rPr>
                <w:color w:val="000000" w:themeColor="text1"/>
                <w14:textFill>
                  <w14:solidFill>
                    <w14:schemeClr w14:val="tx1"/>
                  </w14:solidFill>
                </w14:textFill>
              </w:rPr>
            </w:pPr>
            <w:r>
              <w:rPr>
                <w:rFonts w:hint="eastAsia"/>
                <w:color w:val="000000" w:themeColor="text1"/>
                <w14:textFill>
                  <w14:solidFill>
                    <w14:schemeClr w14:val="tx1"/>
                  </w14:solidFill>
                </w14:textFill>
              </w:rPr>
              <w:t>5</w:t>
            </w:r>
          </w:p>
        </w:tc>
        <w:tc>
          <w:tcPr>
            <w:tcW w:w="611" w:type="pct"/>
            <w:vMerge w:val="continue"/>
          </w:tcPr>
          <w:p w14:paraId="70E66B9A">
            <w:pPr>
              <w:pStyle w:val="18"/>
              <w:rPr>
                <w:color w:val="000000" w:themeColor="text1"/>
                <w14:textFill>
                  <w14:solidFill>
                    <w14:schemeClr w14:val="tx1"/>
                  </w14:solidFill>
                </w14:textFill>
              </w:rPr>
            </w:pPr>
          </w:p>
        </w:tc>
      </w:tr>
      <w:tr w14:paraId="047FC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512" w:type="pct"/>
            <w:vMerge w:val="continue"/>
            <w:vAlign w:val="center"/>
          </w:tcPr>
          <w:p w14:paraId="33E21714">
            <w:pPr>
              <w:pStyle w:val="18"/>
              <w:rPr>
                <w:color w:val="000000" w:themeColor="text1"/>
                <w14:textFill>
                  <w14:solidFill>
                    <w14:schemeClr w14:val="tx1"/>
                  </w14:solidFill>
                </w14:textFill>
              </w:rPr>
            </w:pPr>
          </w:p>
        </w:tc>
        <w:tc>
          <w:tcPr>
            <w:tcW w:w="3134" w:type="pct"/>
            <w:vAlign w:val="center"/>
          </w:tcPr>
          <w:p w14:paraId="039C1C0F">
            <w:pPr>
              <w:pStyle w:val="18"/>
              <w:rPr>
                <w:color w:val="000000" w:themeColor="text1"/>
                <w14:textFill>
                  <w14:solidFill>
                    <w14:schemeClr w14:val="tx1"/>
                  </w14:solidFill>
                </w14:textFill>
              </w:rPr>
            </w:pPr>
            <w:r>
              <w:rPr>
                <w:rFonts w:hint="eastAsia"/>
                <w:color w:val="000000" w:themeColor="text1"/>
                <w14:textFill>
                  <w14:solidFill>
                    <w14:schemeClr w14:val="tx1"/>
                  </w14:solidFill>
                </w14:textFill>
              </w:rPr>
              <w:t>实操文档</w:t>
            </w:r>
          </w:p>
        </w:tc>
        <w:tc>
          <w:tcPr>
            <w:tcW w:w="743" w:type="pct"/>
            <w:vAlign w:val="center"/>
          </w:tcPr>
          <w:p w14:paraId="16ED0AFF">
            <w:pPr>
              <w:pStyle w:val="18"/>
              <w:rPr>
                <w:color w:val="000000" w:themeColor="text1"/>
                <w14:textFill>
                  <w14:solidFill>
                    <w14:schemeClr w14:val="tx1"/>
                  </w14:solidFill>
                </w14:textFill>
              </w:rPr>
            </w:pPr>
            <w:r>
              <w:rPr>
                <w:rFonts w:hint="eastAsia"/>
                <w:color w:val="000000" w:themeColor="text1"/>
                <w14:textFill>
                  <w14:solidFill>
                    <w14:schemeClr w14:val="tx1"/>
                  </w14:solidFill>
                </w14:textFill>
              </w:rPr>
              <w:t>5</w:t>
            </w:r>
          </w:p>
        </w:tc>
        <w:tc>
          <w:tcPr>
            <w:tcW w:w="611" w:type="pct"/>
            <w:vMerge w:val="continue"/>
          </w:tcPr>
          <w:p w14:paraId="1ECB9E2C">
            <w:pPr>
              <w:pStyle w:val="18"/>
              <w:rPr>
                <w:color w:val="000000" w:themeColor="text1"/>
                <w14:textFill>
                  <w14:solidFill>
                    <w14:schemeClr w14:val="tx1"/>
                  </w14:solidFill>
                </w14:textFill>
              </w:rPr>
            </w:pPr>
          </w:p>
        </w:tc>
      </w:tr>
      <w:tr w14:paraId="07AE1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512" w:type="pct"/>
            <w:vMerge w:val="continue"/>
            <w:vAlign w:val="center"/>
          </w:tcPr>
          <w:p w14:paraId="55252C4D">
            <w:pPr>
              <w:pStyle w:val="18"/>
              <w:rPr>
                <w:color w:val="000000" w:themeColor="text1"/>
                <w14:textFill>
                  <w14:solidFill>
                    <w14:schemeClr w14:val="tx1"/>
                  </w14:solidFill>
                </w14:textFill>
              </w:rPr>
            </w:pPr>
          </w:p>
        </w:tc>
        <w:tc>
          <w:tcPr>
            <w:tcW w:w="3134" w:type="pct"/>
            <w:vAlign w:val="center"/>
          </w:tcPr>
          <w:p w14:paraId="0E216942">
            <w:pPr>
              <w:pStyle w:val="18"/>
              <w:rPr>
                <w:color w:val="000000" w:themeColor="text1"/>
                <w14:textFill>
                  <w14:solidFill>
                    <w14:schemeClr w14:val="tx1"/>
                  </w14:solidFill>
                </w14:textFill>
              </w:rPr>
            </w:pPr>
            <w:r>
              <w:rPr>
                <w:rFonts w:hint="eastAsia"/>
                <w:color w:val="000000" w:themeColor="text1"/>
                <w14:textFill>
                  <w14:solidFill>
                    <w14:schemeClr w14:val="tx1"/>
                  </w14:solidFill>
                </w14:textFill>
              </w:rPr>
              <w:t>安全操作</w:t>
            </w:r>
          </w:p>
        </w:tc>
        <w:tc>
          <w:tcPr>
            <w:tcW w:w="743" w:type="pct"/>
            <w:vAlign w:val="center"/>
          </w:tcPr>
          <w:p w14:paraId="32CFAFF1">
            <w:pPr>
              <w:pStyle w:val="18"/>
              <w:rPr>
                <w:color w:val="000000" w:themeColor="text1"/>
                <w14:textFill>
                  <w14:solidFill>
                    <w14:schemeClr w14:val="tx1"/>
                  </w14:solidFill>
                </w14:textFill>
              </w:rPr>
            </w:pPr>
            <w:r>
              <w:rPr>
                <w:color w:val="000000" w:themeColor="text1"/>
                <w14:textFill>
                  <w14:solidFill>
                    <w14:schemeClr w14:val="tx1"/>
                  </w14:solidFill>
                </w14:textFill>
              </w:rPr>
              <w:t>5</w:t>
            </w:r>
          </w:p>
        </w:tc>
        <w:tc>
          <w:tcPr>
            <w:tcW w:w="611" w:type="pct"/>
            <w:vMerge w:val="continue"/>
          </w:tcPr>
          <w:p w14:paraId="649D7568">
            <w:pPr>
              <w:pStyle w:val="18"/>
              <w:rPr>
                <w:color w:val="000000" w:themeColor="text1"/>
                <w14:textFill>
                  <w14:solidFill>
                    <w14:schemeClr w14:val="tx1"/>
                  </w14:solidFill>
                </w14:textFill>
              </w:rPr>
            </w:pPr>
          </w:p>
        </w:tc>
      </w:tr>
    </w:tbl>
    <w:p w14:paraId="588A13F9">
      <w:pPr>
        <w:spacing w:line="360" w:lineRule="auto"/>
        <w:ind w:firstLine="420" w:firstLineChars="200"/>
        <w:rPr>
          <w:rFonts w:ascii="仿宋" w:hAnsi="仿宋" w:eastAsia="仿宋" w:cs="仿宋"/>
          <w:color w:val="000000" w:themeColor="text1"/>
          <w:szCs w:val="21"/>
          <w14:textFill>
            <w14:solidFill>
              <w14:schemeClr w14:val="tx1"/>
            </w14:solidFill>
          </w14:textFill>
        </w:rPr>
      </w:pPr>
    </w:p>
    <w:p w14:paraId="6468C017">
      <w:pPr>
        <w:spacing w:line="360" w:lineRule="auto"/>
        <w:ind w:firstLine="420" w:firstLineChars="200"/>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注：1.表中评价内容及权重仅供参考，根据本课程特点进行调整；</w:t>
      </w:r>
    </w:p>
    <w:p w14:paraId="219E24D9">
      <w:pPr>
        <w:spacing w:line="360" w:lineRule="auto"/>
        <w:ind w:firstLine="840" w:firstLineChars="400"/>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2.增值赋分之后，总分不超过100分。</w:t>
      </w:r>
    </w:p>
    <w:p w14:paraId="4CAF4791">
      <w:pPr>
        <w:ind w:left="709"/>
        <w:outlineLvl w:val="0"/>
        <w:rPr>
          <w:rFonts w:ascii="黑体" w:hAnsi="黑体" w:eastAsia="黑体" w:cs="黑体"/>
          <w:color w:val="000000" w:themeColor="text1"/>
          <w:sz w:val="28"/>
          <w:szCs w:val="28"/>
          <w:highlight w:val="lightGray"/>
          <w14:textFill>
            <w14:solidFill>
              <w14:schemeClr w14:val="tx1"/>
            </w14:solidFill>
          </w14:textFill>
        </w:rPr>
        <w:sectPr>
          <w:pgSz w:w="11906" w:h="16838"/>
          <w:pgMar w:top="1440" w:right="1800" w:bottom="1440" w:left="1800" w:header="851" w:footer="992" w:gutter="0"/>
          <w:cols w:space="425" w:num="1"/>
          <w:titlePg/>
          <w:docGrid w:type="lines" w:linePitch="312" w:charSpace="0"/>
        </w:sectPr>
      </w:pPr>
    </w:p>
    <w:p w14:paraId="4AF8614A">
      <w:pPr>
        <w:ind w:left="709"/>
        <w:outlineLvl w:val="0"/>
        <w:rPr>
          <w:rFonts w:ascii="黑体" w:hAnsi="黑体" w:eastAsia="黑体" w:cs="黑体"/>
          <w:color w:val="000000" w:themeColor="text1"/>
          <w:sz w:val="28"/>
          <w:szCs w:val="28"/>
          <w14:textFill>
            <w14:solidFill>
              <w14:schemeClr w14:val="tx1"/>
            </w14:solidFill>
          </w14:textFill>
        </w:rPr>
      </w:pPr>
      <w:bookmarkStart w:id="14" w:name="_Toc171066601"/>
      <w:r>
        <w:rPr>
          <w:rFonts w:hint="eastAsia" w:ascii="黑体" w:hAnsi="黑体" w:eastAsia="黑体" w:cs="黑体"/>
          <w:color w:val="000000" w:themeColor="text1"/>
          <w:sz w:val="28"/>
          <w:szCs w:val="28"/>
          <w14:textFill>
            <w14:solidFill>
              <w14:schemeClr w14:val="tx1"/>
            </w14:solidFill>
          </w14:textFill>
        </w:rPr>
        <w:t>六、教学实施与保障</w:t>
      </w:r>
      <w:bookmarkEnd w:id="14"/>
    </w:p>
    <w:p w14:paraId="35B92029">
      <w:pPr>
        <w:numPr>
          <w:ilvl w:val="0"/>
          <w:numId w:val="7"/>
        </w:numPr>
        <w:outlineLvl w:val="1"/>
        <w:rPr>
          <w:rFonts w:ascii="楷体" w:hAnsi="楷体" w:eastAsia="楷体" w:cs="楷体"/>
          <w:color w:val="000000" w:themeColor="text1"/>
          <w:sz w:val="28"/>
          <w:szCs w:val="28"/>
          <w14:textFill>
            <w14:solidFill>
              <w14:schemeClr w14:val="tx1"/>
            </w14:solidFill>
          </w14:textFill>
        </w:rPr>
      </w:pPr>
      <w:bookmarkStart w:id="15" w:name="_Toc171066602"/>
      <w:r>
        <w:rPr>
          <w:rFonts w:hint="eastAsia" w:ascii="楷体" w:hAnsi="楷体" w:eastAsia="楷体" w:cs="楷体"/>
          <w:color w:val="000000" w:themeColor="text1"/>
          <w:sz w:val="28"/>
          <w:szCs w:val="28"/>
          <w14:textFill>
            <w14:solidFill>
              <w14:schemeClr w14:val="tx1"/>
            </w14:solidFill>
          </w14:textFill>
        </w:rPr>
        <w:t>教材选用和编写建议</w:t>
      </w:r>
      <w:bookmarkEnd w:id="15"/>
    </w:p>
    <w:p w14:paraId="453C4F82">
      <w:pPr>
        <w:spacing w:line="360" w:lineRule="auto"/>
        <w:ind w:firstLine="480" w:firstLineChars="20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教材编写以本教学大纲为基本依据。</w:t>
      </w:r>
    </w:p>
    <w:p w14:paraId="35C30F56">
      <w:pPr>
        <w:spacing w:line="360" w:lineRule="auto"/>
        <w:ind w:firstLine="480" w:firstLineChars="20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1. 合理安排基础模块和选学模块内容，可根据不同专业、不同教学模式编写相应教材。</w:t>
      </w:r>
    </w:p>
    <w:p w14:paraId="173026F1">
      <w:pPr>
        <w:spacing w:line="360" w:lineRule="auto"/>
        <w:ind w:firstLine="480" w:firstLineChars="20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2. 应体现以就业为导向、以学生为本的原则，将电工电子技术的基本原理与生产生活中的实际应用相结合，注重实践技能的培养，注意反映电工电子技术领域的新知识、新技术、新工艺和新材料。</w:t>
      </w:r>
    </w:p>
    <w:p w14:paraId="00E02F90">
      <w:pPr>
        <w:spacing w:line="360" w:lineRule="auto"/>
        <w:ind w:firstLine="480" w:firstLineChars="20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3. 应符合中职学生的认知特点，努力提供多介质、多媒体、满足不同教学需求的教材及数字化教学资源，为教师教学与学生学习提供较为全面的支持。见表4。</w:t>
      </w:r>
    </w:p>
    <w:p w14:paraId="1509F384">
      <w:pPr>
        <w:pStyle w:val="3"/>
        <w:jc w:val="center"/>
        <w:rPr>
          <w:rFonts w:ascii="仿宋" w:hAnsi="仿宋" w:eastAsia="仿宋" w:cs="仿宋"/>
          <w:b/>
          <w:bCs/>
          <w:color w:val="000000" w:themeColor="text1"/>
          <w:sz w:val="21"/>
          <w:szCs w:val="21"/>
          <w14:textFill>
            <w14:solidFill>
              <w14:schemeClr w14:val="tx1"/>
            </w14:solidFill>
          </w14:textFill>
        </w:rPr>
      </w:pPr>
      <w:r>
        <w:rPr>
          <w:rFonts w:hint="eastAsia" w:ascii="仿宋" w:hAnsi="仿宋" w:eastAsia="仿宋" w:cs="仿宋"/>
          <w:b/>
          <w:bCs/>
          <w:color w:val="000000" w:themeColor="text1"/>
          <w:sz w:val="21"/>
          <w:szCs w:val="21"/>
          <w14:textFill>
            <w14:solidFill>
              <w14:schemeClr w14:val="tx1"/>
            </w14:solidFill>
          </w14:textFill>
        </w:rPr>
        <w:t xml:space="preserve">表 </w:t>
      </w:r>
      <w:r>
        <w:rPr>
          <w:rFonts w:hint="eastAsia" w:ascii="仿宋" w:hAnsi="仿宋" w:eastAsia="仿宋" w:cs="仿宋"/>
          <w:b/>
          <w:bCs/>
          <w:color w:val="000000" w:themeColor="text1"/>
          <w:sz w:val="21"/>
          <w:szCs w:val="21"/>
          <w14:textFill>
            <w14:solidFill>
              <w14:schemeClr w14:val="tx1"/>
            </w14:solidFill>
          </w14:textFill>
        </w:rPr>
        <w:fldChar w:fldCharType="begin"/>
      </w:r>
      <w:r>
        <w:rPr>
          <w:rFonts w:hint="eastAsia" w:ascii="仿宋" w:hAnsi="仿宋" w:eastAsia="仿宋" w:cs="仿宋"/>
          <w:b/>
          <w:bCs/>
          <w:color w:val="000000" w:themeColor="text1"/>
          <w:sz w:val="21"/>
          <w:szCs w:val="21"/>
          <w14:textFill>
            <w14:solidFill>
              <w14:schemeClr w14:val="tx1"/>
            </w14:solidFill>
          </w14:textFill>
        </w:rPr>
        <w:instrText xml:space="preserve"> SEQ 表 \* ARABIC </w:instrText>
      </w:r>
      <w:r>
        <w:rPr>
          <w:rFonts w:hint="eastAsia" w:ascii="仿宋" w:hAnsi="仿宋" w:eastAsia="仿宋" w:cs="仿宋"/>
          <w:b/>
          <w:bCs/>
          <w:color w:val="000000" w:themeColor="text1"/>
          <w:sz w:val="21"/>
          <w:szCs w:val="21"/>
          <w14:textFill>
            <w14:solidFill>
              <w14:schemeClr w14:val="tx1"/>
            </w14:solidFill>
          </w14:textFill>
        </w:rPr>
        <w:fldChar w:fldCharType="separate"/>
      </w:r>
      <w:r>
        <w:rPr>
          <w:rFonts w:hint="eastAsia" w:ascii="仿宋" w:hAnsi="仿宋" w:eastAsia="仿宋" w:cs="仿宋"/>
          <w:b/>
          <w:bCs/>
          <w:color w:val="000000" w:themeColor="text1"/>
          <w:sz w:val="21"/>
          <w:szCs w:val="21"/>
          <w14:textFill>
            <w14:solidFill>
              <w14:schemeClr w14:val="tx1"/>
            </w14:solidFill>
          </w14:textFill>
        </w:rPr>
        <w:t>4</w:t>
      </w:r>
      <w:r>
        <w:rPr>
          <w:rFonts w:hint="eastAsia" w:ascii="仿宋" w:hAnsi="仿宋" w:eastAsia="仿宋" w:cs="仿宋"/>
          <w:b/>
          <w:bCs/>
          <w:color w:val="000000" w:themeColor="text1"/>
          <w:sz w:val="21"/>
          <w:szCs w:val="21"/>
          <w14:textFill>
            <w14:solidFill>
              <w14:schemeClr w14:val="tx1"/>
            </w14:solidFill>
          </w14:textFill>
        </w:rPr>
        <w:fldChar w:fldCharType="end"/>
      </w:r>
      <w:r>
        <w:rPr>
          <w:rFonts w:hint="eastAsia" w:ascii="仿宋" w:hAnsi="仿宋" w:eastAsia="仿宋" w:cs="仿宋"/>
          <w:b/>
          <w:bCs/>
          <w:color w:val="000000" w:themeColor="text1"/>
          <w:sz w:val="21"/>
          <w:szCs w:val="21"/>
          <w14:textFill>
            <w14:solidFill>
              <w14:schemeClr w14:val="tx1"/>
            </w14:solidFill>
          </w14:textFill>
        </w:rPr>
        <w:t xml:space="preserve"> 选用与参考教材</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3"/>
        <w:gridCol w:w="2706"/>
        <w:gridCol w:w="2191"/>
        <w:gridCol w:w="1652"/>
        <w:gridCol w:w="1064"/>
      </w:tblGrid>
      <w:tr w14:paraId="2BAA7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2" w:hRule="atLeast"/>
          <w:jc w:val="center"/>
        </w:trPr>
        <w:tc>
          <w:tcPr>
            <w:tcW w:w="683" w:type="dxa"/>
            <w:vAlign w:val="center"/>
          </w:tcPr>
          <w:p w14:paraId="39CFCC05">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序号</w:t>
            </w:r>
          </w:p>
        </w:tc>
        <w:tc>
          <w:tcPr>
            <w:tcW w:w="2706" w:type="dxa"/>
            <w:vAlign w:val="center"/>
          </w:tcPr>
          <w:p w14:paraId="73D2B714">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文献名称</w:t>
            </w:r>
          </w:p>
        </w:tc>
        <w:tc>
          <w:tcPr>
            <w:tcW w:w="2191" w:type="dxa"/>
            <w:vAlign w:val="center"/>
          </w:tcPr>
          <w:p w14:paraId="75C65D3E">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出版社</w:t>
            </w:r>
          </w:p>
        </w:tc>
        <w:tc>
          <w:tcPr>
            <w:tcW w:w="1652" w:type="dxa"/>
            <w:vAlign w:val="center"/>
          </w:tcPr>
          <w:p w14:paraId="55F411C7">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主编</w:t>
            </w:r>
          </w:p>
        </w:tc>
        <w:tc>
          <w:tcPr>
            <w:tcW w:w="1064" w:type="dxa"/>
            <w:vAlign w:val="center"/>
          </w:tcPr>
          <w:p w14:paraId="0F5ADBAF">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出版时间</w:t>
            </w:r>
          </w:p>
        </w:tc>
      </w:tr>
      <w:tr w14:paraId="207A7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83" w:type="dxa"/>
            <w:vAlign w:val="center"/>
          </w:tcPr>
          <w:p w14:paraId="462F32DA">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1</w:t>
            </w:r>
          </w:p>
        </w:tc>
        <w:tc>
          <w:tcPr>
            <w:tcW w:w="2706" w:type="dxa"/>
            <w:vAlign w:val="center"/>
          </w:tcPr>
          <w:p w14:paraId="1BBEB029">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电工电子技术与技能</w:t>
            </w:r>
          </w:p>
        </w:tc>
        <w:tc>
          <w:tcPr>
            <w:tcW w:w="2191" w:type="dxa"/>
            <w:vAlign w:val="center"/>
          </w:tcPr>
          <w:p w14:paraId="7D78DC00">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航空工业出版社</w:t>
            </w:r>
          </w:p>
        </w:tc>
        <w:tc>
          <w:tcPr>
            <w:tcW w:w="1652" w:type="dxa"/>
            <w:vAlign w:val="center"/>
          </w:tcPr>
          <w:p w14:paraId="209CD44D">
            <w:pP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张淼 马明骏 许迎莹</w:t>
            </w:r>
          </w:p>
        </w:tc>
        <w:tc>
          <w:tcPr>
            <w:tcW w:w="1064" w:type="dxa"/>
            <w:vAlign w:val="center"/>
          </w:tcPr>
          <w:p w14:paraId="3B8961D1">
            <w:pPr>
              <w:jc w:val="center"/>
              <w:rPr>
                <w:rFonts w:ascii="仿宋" w:hAnsi="仿宋" w:eastAsia="仿宋" w:cs="仿宋"/>
                <w:color w:val="000000" w:themeColor="text1"/>
                <w:szCs w:val="21"/>
                <w14:textFill>
                  <w14:solidFill>
                    <w14:schemeClr w14:val="tx1"/>
                  </w14:solidFill>
                </w14:textFill>
              </w:rPr>
            </w:pPr>
            <w:r>
              <w:rPr>
                <w:rFonts w:ascii="仿宋" w:hAnsi="仿宋" w:eastAsia="仿宋" w:cs="仿宋"/>
                <w:color w:val="000000" w:themeColor="text1"/>
                <w:szCs w:val="21"/>
                <w14:textFill>
                  <w14:solidFill>
                    <w14:schemeClr w14:val="tx1"/>
                  </w14:solidFill>
                </w14:textFill>
              </w:rPr>
              <w:t>201</w:t>
            </w:r>
            <w:r>
              <w:rPr>
                <w:rFonts w:hint="eastAsia" w:ascii="仿宋" w:hAnsi="仿宋" w:eastAsia="仿宋" w:cs="仿宋"/>
                <w:color w:val="000000" w:themeColor="text1"/>
                <w:szCs w:val="21"/>
                <w14:textFill>
                  <w14:solidFill>
                    <w14:schemeClr w14:val="tx1"/>
                  </w14:solidFill>
                </w14:textFill>
              </w:rPr>
              <w:t>6.04</w:t>
            </w:r>
          </w:p>
        </w:tc>
      </w:tr>
    </w:tbl>
    <w:p w14:paraId="729C7405">
      <w:pPr>
        <w:numPr>
          <w:ilvl w:val="0"/>
          <w:numId w:val="7"/>
        </w:numPr>
        <w:outlineLvl w:val="1"/>
        <w:rPr>
          <w:rFonts w:ascii="楷体" w:hAnsi="楷体" w:eastAsia="楷体" w:cs="楷体"/>
          <w:color w:val="000000" w:themeColor="text1"/>
          <w:sz w:val="28"/>
          <w:szCs w:val="28"/>
          <w14:textFill>
            <w14:solidFill>
              <w14:schemeClr w14:val="tx1"/>
            </w14:solidFill>
          </w14:textFill>
        </w:rPr>
      </w:pPr>
      <w:bookmarkStart w:id="16" w:name="_Toc171066603"/>
      <w:r>
        <w:rPr>
          <w:rFonts w:hint="eastAsia" w:ascii="楷体" w:hAnsi="楷体" w:eastAsia="楷体" w:cs="楷体"/>
          <w:color w:val="000000" w:themeColor="text1"/>
          <w:sz w:val="28"/>
          <w:szCs w:val="28"/>
          <w14:textFill>
            <w14:solidFill>
              <w14:schemeClr w14:val="tx1"/>
            </w14:solidFill>
          </w14:textFill>
        </w:rPr>
        <w:t>课程资源的开发与利用</w:t>
      </w:r>
      <w:bookmarkEnd w:id="16"/>
    </w:p>
    <w:p w14:paraId="771BD8B4">
      <w:pPr>
        <w:numPr>
          <w:ilvl w:val="0"/>
          <w:numId w:val="8"/>
        </w:numPr>
        <w:spacing w:line="360" w:lineRule="auto"/>
        <w:ind w:firstLine="480" w:firstLineChars="20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充分挖掘相关电子课件、教学资源库、虚拟仿真、特色视频、精品开放课等教学资源。</w:t>
      </w:r>
    </w:p>
    <w:p w14:paraId="02555905">
      <w:pPr>
        <w:numPr>
          <w:ilvl w:val="0"/>
          <w:numId w:val="8"/>
        </w:numPr>
        <w:spacing w:line="360" w:lineRule="auto"/>
        <w:ind w:firstLine="480" w:firstLineChars="20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选用符合教学要求的录像、课件、视频、资料文献等资料辅助教学。</w:t>
      </w:r>
    </w:p>
    <w:p w14:paraId="1F44D063">
      <w:pPr>
        <w:numPr>
          <w:ilvl w:val="0"/>
          <w:numId w:val="8"/>
        </w:numPr>
        <w:spacing w:line="360" w:lineRule="auto"/>
        <w:ind w:firstLine="480" w:firstLineChars="20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依托学校线上线下混合式教学平台进行课程资源建设。</w:t>
      </w:r>
    </w:p>
    <w:p w14:paraId="2DFB28F4">
      <w:pPr>
        <w:numPr>
          <w:ilvl w:val="0"/>
          <w:numId w:val="7"/>
        </w:numPr>
        <w:outlineLvl w:val="1"/>
        <w:rPr>
          <w:rFonts w:ascii="楷体" w:hAnsi="楷体" w:eastAsia="楷体" w:cs="楷体"/>
          <w:color w:val="000000" w:themeColor="text1"/>
          <w:sz w:val="28"/>
          <w:szCs w:val="28"/>
          <w14:textFill>
            <w14:solidFill>
              <w14:schemeClr w14:val="tx1"/>
            </w14:solidFill>
          </w14:textFill>
        </w:rPr>
      </w:pPr>
      <w:bookmarkStart w:id="17" w:name="_Toc171066604"/>
      <w:r>
        <w:rPr>
          <w:rFonts w:hint="eastAsia" w:ascii="楷体" w:hAnsi="楷体" w:eastAsia="楷体" w:cs="楷体"/>
          <w:color w:val="000000" w:themeColor="text1"/>
          <w:sz w:val="28"/>
          <w:szCs w:val="28"/>
          <w14:textFill>
            <w14:solidFill>
              <w14:schemeClr w14:val="tx1"/>
            </w14:solidFill>
          </w14:textFill>
        </w:rPr>
        <w:t>教学基本条件</w:t>
      </w:r>
      <w:bookmarkEnd w:id="17"/>
    </w:p>
    <w:p w14:paraId="175EF1F5">
      <w:pPr>
        <w:spacing w:line="360" w:lineRule="auto"/>
        <w:ind w:firstLine="482" w:firstLineChars="200"/>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1.授课教师基本要求</w:t>
      </w:r>
    </w:p>
    <w:p w14:paraId="153DD937">
      <w:pPr>
        <w:spacing w:line="360" w:lineRule="auto"/>
        <w:ind w:firstLine="482" w:firstLineChars="200"/>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教师应当具备双师素质，具有较为丰富的实践能力，能够实际操作、演示相关实操内容，具备一定的故障排错能力。</w:t>
      </w:r>
    </w:p>
    <w:p w14:paraId="00C2DE96">
      <w:pPr>
        <w:spacing w:line="360" w:lineRule="auto"/>
        <w:ind w:firstLine="482" w:firstLineChars="200"/>
        <w:rPr>
          <w:rFonts w:ascii="仿宋" w:hAnsi="仿宋" w:eastAsia="仿宋" w:cs="仿宋"/>
          <w:b/>
          <w:bCs/>
          <w:color w:val="000000" w:themeColor="text1"/>
          <w:sz w:val="24"/>
          <w14:textFill>
            <w14:solidFill>
              <w14:schemeClr w14:val="tx1"/>
            </w14:solidFill>
          </w14:textFill>
        </w:rPr>
      </w:pPr>
      <w:r>
        <w:rPr>
          <w:rFonts w:hint="eastAsia" w:ascii="仿宋" w:hAnsi="仿宋" w:eastAsia="仿宋" w:cs="仿宋"/>
          <w:b/>
          <w:bCs/>
          <w:color w:val="000000" w:themeColor="text1"/>
          <w:sz w:val="24"/>
          <w14:textFill>
            <w14:solidFill>
              <w14:schemeClr w14:val="tx1"/>
            </w14:solidFill>
          </w14:textFill>
        </w:rPr>
        <w:t>2.实践教学条件要求</w:t>
      </w:r>
    </w:p>
    <w:p w14:paraId="4EE1DE88">
      <w:pPr>
        <w:spacing w:line="360" w:lineRule="auto"/>
        <w:ind w:firstLine="480" w:firstLineChars="200"/>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教学设施满足本课程人才培养实施需要，达到国家发布的有关专业实训教学条件建设标准（仪器设备配备规范）要求。信息化条件保障能满足专业建设、教学管理、信息化教学和学生自主学习需要。本课程要求在具备多媒体设备的“理、虚、实”一体化教室实施，按照课程设计情况，支持线上线下混合式教学，见表</w:t>
      </w:r>
      <w:r>
        <w:rPr>
          <w:rFonts w:ascii="仿宋" w:hAnsi="仿宋" w:eastAsia="仿宋" w:cs="仿宋"/>
          <w:color w:val="000000" w:themeColor="text1"/>
          <w:sz w:val="24"/>
          <w14:textFill>
            <w14:solidFill>
              <w14:schemeClr w14:val="tx1"/>
            </w14:solidFill>
          </w14:textFill>
        </w:rPr>
        <w:t>5</w:t>
      </w:r>
      <w:r>
        <w:rPr>
          <w:rFonts w:hint="eastAsia" w:ascii="仿宋" w:hAnsi="仿宋" w:eastAsia="仿宋" w:cs="仿宋"/>
          <w:color w:val="000000" w:themeColor="text1"/>
          <w:sz w:val="24"/>
          <w14:textFill>
            <w14:solidFill>
              <w14:schemeClr w14:val="tx1"/>
            </w14:solidFill>
          </w14:textFill>
        </w:rPr>
        <w:t>。</w:t>
      </w:r>
    </w:p>
    <w:p w14:paraId="4A22F088">
      <w:pPr>
        <w:pStyle w:val="3"/>
        <w:jc w:val="center"/>
        <w:rPr>
          <w:rFonts w:ascii="仿宋" w:hAnsi="仿宋" w:eastAsia="仿宋" w:cs="仿宋"/>
          <w:b/>
          <w:bCs/>
          <w:color w:val="000000" w:themeColor="text1"/>
          <w:sz w:val="21"/>
          <w:szCs w:val="21"/>
          <w14:textFill>
            <w14:solidFill>
              <w14:schemeClr w14:val="tx1"/>
            </w14:solidFill>
          </w14:textFill>
        </w:rPr>
      </w:pPr>
      <w:r>
        <w:rPr>
          <w:rFonts w:hint="eastAsia" w:ascii="仿宋" w:hAnsi="仿宋" w:eastAsia="仿宋" w:cs="仿宋"/>
          <w:b/>
          <w:bCs/>
          <w:color w:val="000000" w:themeColor="text1"/>
          <w:sz w:val="21"/>
          <w:szCs w:val="21"/>
          <w14:textFill>
            <w14:solidFill>
              <w14:schemeClr w14:val="tx1"/>
            </w14:solidFill>
          </w14:textFill>
        </w:rPr>
        <w:t xml:space="preserve">表 </w:t>
      </w:r>
      <w:r>
        <w:rPr>
          <w:rFonts w:hint="eastAsia" w:ascii="仿宋" w:hAnsi="仿宋" w:eastAsia="仿宋" w:cs="仿宋"/>
          <w:b/>
          <w:bCs/>
          <w:color w:val="000000" w:themeColor="text1"/>
          <w:sz w:val="21"/>
          <w:szCs w:val="21"/>
          <w14:textFill>
            <w14:solidFill>
              <w14:schemeClr w14:val="tx1"/>
            </w14:solidFill>
          </w14:textFill>
        </w:rPr>
        <w:fldChar w:fldCharType="begin"/>
      </w:r>
      <w:r>
        <w:rPr>
          <w:rFonts w:hint="eastAsia" w:ascii="仿宋" w:hAnsi="仿宋" w:eastAsia="仿宋" w:cs="仿宋"/>
          <w:b/>
          <w:bCs/>
          <w:color w:val="000000" w:themeColor="text1"/>
          <w:sz w:val="21"/>
          <w:szCs w:val="21"/>
          <w14:textFill>
            <w14:solidFill>
              <w14:schemeClr w14:val="tx1"/>
            </w14:solidFill>
          </w14:textFill>
        </w:rPr>
        <w:instrText xml:space="preserve"> SEQ 表 \* ARABIC </w:instrText>
      </w:r>
      <w:r>
        <w:rPr>
          <w:rFonts w:hint="eastAsia" w:ascii="仿宋" w:hAnsi="仿宋" w:eastAsia="仿宋" w:cs="仿宋"/>
          <w:b/>
          <w:bCs/>
          <w:color w:val="000000" w:themeColor="text1"/>
          <w:sz w:val="21"/>
          <w:szCs w:val="21"/>
          <w14:textFill>
            <w14:solidFill>
              <w14:schemeClr w14:val="tx1"/>
            </w14:solidFill>
          </w14:textFill>
        </w:rPr>
        <w:fldChar w:fldCharType="separate"/>
      </w:r>
      <w:r>
        <w:rPr>
          <w:rFonts w:hint="eastAsia" w:ascii="仿宋" w:hAnsi="仿宋" w:eastAsia="仿宋" w:cs="仿宋"/>
          <w:b/>
          <w:bCs/>
          <w:color w:val="000000" w:themeColor="text1"/>
          <w:sz w:val="21"/>
          <w:szCs w:val="21"/>
          <w14:textFill>
            <w14:solidFill>
              <w14:schemeClr w14:val="tx1"/>
            </w14:solidFill>
          </w14:textFill>
        </w:rPr>
        <w:t>5</w:t>
      </w:r>
      <w:r>
        <w:rPr>
          <w:rFonts w:hint="eastAsia" w:ascii="仿宋" w:hAnsi="仿宋" w:eastAsia="仿宋" w:cs="仿宋"/>
          <w:b/>
          <w:bCs/>
          <w:color w:val="000000" w:themeColor="text1"/>
          <w:sz w:val="21"/>
          <w:szCs w:val="21"/>
          <w14:textFill>
            <w14:solidFill>
              <w14:schemeClr w14:val="tx1"/>
            </w14:solidFill>
          </w14:textFill>
        </w:rPr>
        <w:fldChar w:fldCharType="end"/>
      </w:r>
      <w:r>
        <w:rPr>
          <w:rFonts w:hint="eastAsia" w:ascii="仿宋" w:hAnsi="仿宋" w:eastAsia="仿宋" w:cs="仿宋"/>
          <w:b/>
          <w:bCs/>
          <w:color w:val="000000" w:themeColor="text1"/>
          <w:sz w:val="21"/>
          <w:szCs w:val="21"/>
          <w14:textFill>
            <w14:solidFill>
              <w14:schemeClr w14:val="tx1"/>
            </w14:solidFill>
          </w14:textFill>
        </w:rPr>
        <w:t xml:space="preserve"> 电工电子工艺实训室一览表</w:t>
      </w:r>
    </w:p>
    <w:tbl>
      <w:tblPr>
        <w:tblStyle w:val="11"/>
        <w:tblW w:w="875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4"/>
        <w:gridCol w:w="1411"/>
        <w:gridCol w:w="3424"/>
        <w:gridCol w:w="3161"/>
      </w:tblGrid>
      <w:tr w14:paraId="5C83A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754" w:type="dxa"/>
            <w:vAlign w:val="center"/>
          </w:tcPr>
          <w:p w14:paraId="397270A4">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序号</w:t>
            </w:r>
          </w:p>
        </w:tc>
        <w:tc>
          <w:tcPr>
            <w:tcW w:w="1411" w:type="dxa"/>
            <w:vAlign w:val="center"/>
          </w:tcPr>
          <w:p w14:paraId="7658183E">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实训室名称</w:t>
            </w:r>
            <w:r>
              <w:rPr>
                <w:rFonts w:hint="eastAsia" w:ascii="仿宋" w:hAnsi="仿宋" w:eastAsia="仿宋" w:cs="仿宋"/>
                <w:b/>
                <w:bCs/>
                <w:color w:val="000000" w:themeColor="text1"/>
                <w:szCs w:val="21"/>
                <w14:textFill>
                  <w14:solidFill>
                    <w14:schemeClr w14:val="tx1"/>
                  </w14:solidFill>
                </w14:textFill>
              </w:rPr>
              <w:br w:type="textWrapping"/>
            </w:r>
            <w:r>
              <w:rPr>
                <w:rFonts w:hint="eastAsia" w:ascii="仿宋" w:hAnsi="仿宋" w:eastAsia="仿宋" w:cs="仿宋"/>
                <w:b/>
                <w:bCs/>
                <w:color w:val="000000" w:themeColor="text1"/>
                <w:szCs w:val="21"/>
                <w:highlight w:val="yellow"/>
                <w14:textFill>
                  <w14:solidFill>
                    <w14:schemeClr w14:val="tx1"/>
                  </w14:solidFill>
                </w14:textFill>
              </w:rPr>
              <w:t>(举例)</w:t>
            </w:r>
          </w:p>
        </w:tc>
        <w:tc>
          <w:tcPr>
            <w:tcW w:w="3424" w:type="dxa"/>
            <w:vAlign w:val="center"/>
          </w:tcPr>
          <w:p w14:paraId="2CA70C78">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实训功能</w:t>
            </w:r>
          </w:p>
        </w:tc>
        <w:tc>
          <w:tcPr>
            <w:tcW w:w="3161" w:type="dxa"/>
            <w:vAlign w:val="center"/>
          </w:tcPr>
          <w:p w14:paraId="1F961A82">
            <w:pPr>
              <w:jc w:val="center"/>
              <w:rPr>
                <w:rFonts w:ascii="仿宋" w:hAnsi="仿宋" w:eastAsia="仿宋" w:cs="仿宋"/>
                <w:b/>
                <w:bCs/>
                <w:color w:val="000000" w:themeColor="text1"/>
                <w:szCs w:val="21"/>
                <w14:textFill>
                  <w14:solidFill>
                    <w14:schemeClr w14:val="tx1"/>
                  </w14:solidFill>
                </w14:textFill>
              </w:rPr>
            </w:pPr>
            <w:r>
              <w:rPr>
                <w:rFonts w:hint="eastAsia" w:ascii="仿宋" w:hAnsi="仿宋" w:eastAsia="仿宋" w:cs="仿宋"/>
                <w:b/>
                <w:bCs/>
                <w:color w:val="000000" w:themeColor="text1"/>
                <w:szCs w:val="21"/>
                <w14:textFill>
                  <w14:solidFill>
                    <w14:schemeClr w14:val="tx1"/>
                  </w14:solidFill>
                </w14:textFill>
              </w:rPr>
              <w:t>主要设备配置</w:t>
            </w:r>
          </w:p>
        </w:tc>
      </w:tr>
      <w:tr w14:paraId="6B1A92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99" w:hRule="atLeast"/>
          <w:jc w:val="center"/>
        </w:trPr>
        <w:tc>
          <w:tcPr>
            <w:tcW w:w="754" w:type="dxa"/>
            <w:vAlign w:val="center"/>
          </w:tcPr>
          <w:p w14:paraId="41E6BD7C">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1</w:t>
            </w:r>
          </w:p>
        </w:tc>
        <w:tc>
          <w:tcPr>
            <w:tcW w:w="1411" w:type="dxa"/>
            <w:vAlign w:val="center"/>
          </w:tcPr>
          <w:p w14:paraId="4C000CB9">
            <w:pPr>
              <w:jc w:val="center"/>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电工电子工艺实训室</w:t>
            </w:r>
          </w:p>
        </w:tc>
        <w:tc>
          <w:tcPr>
            <w:tcW w:w="3424" w:type="dxa"/>
            <w:vAlign w:val="center"/>
          </w:tcPr>
          <w:p w14:paraId="4D855CD2">
            <w:pPr>
              <w:widowControl/>
              <w:ind w:firstLine="420" w:firstLineChars="200"/>
              <w:jc w:val="left"/>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实现</w:t>
            </w:r>
            <w:r>
              <w:rPr>
                <w:rFonts w:ascii="仿宋" w:hAnsi="仿宋" w:eastAsia="仿宋" w:cs="宋体"/>
                <w:color w:val="000000" w:themeColor="text1"/>
                <w:kern w:val="0"/>
                <w:szCs w:val="21"/>
                <w14:textFill>
                  <w14:solidFill>
                    <w14:schemeClr w14:val="tx1"/>
                  </w14:solidFill>
                </w14:textFill>
              </w:rPr>
              <w:t>由验证书本知识，转向综合应用书本知识，实验、实训</w:t>
            </w:r>
            <w:r>
              <w:rPr>
                <w:rFonts w:hint="eastAsia" w:ascii="仿宋" w:hAnsi="仿宋" w:eastAsia="仿宋" w:cs="宋体"/>
                <w:color w:val="000000" w:themeColor="text1"/>
                <w:kern w:val="0"/>
                <w:szCs w:val="21"/>
                <w14:textFill>
                  <w14:solidFill>
                    <w14:schemeClr w14:val="tx1"/>
                  </w14:solidFill>
                </w14:textFill>
              </w:rPr>
              <w:t>的</w:t>
            </w:r>
            <w:r>
              <w:rPr>
                <w:rFonts w:ascii="仿宋" w:hAnsi="仿宋" w:eastAsia="仿宋" w:cs="宋体"/>
                <w:color w:val="000000" w:themeColor="text1"/>
                <w:kern w:val="0"/>
                <w:szCs w:val="21"/>
                <w14:textFill>
                  <w14:solidFill>
                    <w14:schemeClr w14:val="tx1"/>
                  </w14:solidFill>
                </w14:textFill>
              </w:rPr>
              <w:t>安排以培养能力为主导，以技术应用为目标，接近生产实际</w:t>
            </w:r>
            <w:r>
              <w:rPr>
                <w:rFonts w:hint="eastAsia" w:ascii="仿宋" w:hAnsi="仿宋" w:eastAsia="仿宋" w:cs="宋体"/>
                <w:color w:val="000000" w:themeColor="text1"/>
                <w:kern w:val="0"/>
                <w:szCs w:val="21"/>
                <w14:textFill>
                  <w14:solidFill>
                    <w14:schemeClr w14:val="tx1"/>
                  </w14:solidFill>
                </w14:textFill>
              </w:rPr>
              <w:t>；</w:t>
            </w:r>
            <w:r>
              <w:rPr>
                <w:rFonts w:ascii="仿宋" w:hAnsi="仿宋" w:eastAsia="仿宋" w:cs="宋体"/>
                <w:color w:val="000000" w:themeColor="text1"/>
                <w:kern w:val="0"/>
                <w:szCs w:val="21"/>
                <w14:textFill>
                  <w14:solidFill>
                    <w14:schemeClr w14:val="tx1"/>
                  </w14:solidFill>
                </w14:textFill>
              </w:rPr>
              <w:t>由学生独立自主去搭建实验、实训电路，各模块配置，采用透明有机盒，兼作实物示教，一举多得</w:t>
            </w:r>
            <w:r>
              <w:rPr>
                <w:rFonts w:hint="eastAsia" w:ascii="仿宋" w:hAnsi="仿宋" w:eastAsia="仿宋" w:cs="宋体"/>
                <w:color w:val="000000" w:themeColor="text1"/>
                <w:kern w:val="0"/>
                <w:szCs w:val="21"/>
                <w14:textFill>
                  <w14:solidFill>
                    <w14:schemeClr w14:val="tx1"/>
                  </w14:solidFill>
                </w14:textFill>
              </w:rPr>
              <w:t>；</w:t>
            </w:r>
            <w:r>
              <w:rPr>
                <w:rFonts w:ascii="仿宋" w:hAnsi="仿宋" w:eastAsia="仿宋" w:cs="宋体"/>
                <w:color w:val="000000" w:themeColor="text1"/>
                <w:kern w:val="0"/>
                <w:szCs w:val="21"/>
                <w14:textFill>
                  <w14:solidFill>
                    <w14:schemeClr w14:val="tx1"/>
                  </w14:solidFill>
                </w14:textFill>
              </w:rPr>
              <w:t>提供齐全的各种电源及信号源，以及各种仪表，为学生提供完全开放的，可充分发挥创新潜能的平台，还可做技能竞赛、课程设计</w:t>
            </w:r>
            <w:r>
              <w:rPr>
                <w:rFonts w:hint="eastAsia" w:ascii="仿宋" w:hAnsi="仿宋" w:eastAsia="仿宋" w:cs="宋体"/>
                <w:color w:val="000000" w:themeColor="text1"/>
                <w:kern w:val="0"/>
                <w:szCs w:val="21"/>
                <w14:textFill>
                  <w14:solidFill>
                    <w14:schemeClr w14:val="tx1"/>
                  </w14:solidFill>
                </w14:textFill>
              </w:rPr>
              <w:t>等</w:t>
            </w:r>
            <w:r>
              <w:rPr>
                <w:rFonts w:ascii="仿宋" w:hAnsi="仿宋" w:eastAsia="仿宋" w:cs="宋体"/>
                <w:color w:val="000000" w:themeColor="text1"/>
                <w:kern w:val="0"/>
                <w:szCs w:val="21"/>
                <w14:textFill>
                  <w14:solidFill>
                    <w14:schemeClr w14:val="tx1"/>
                  </w14:solidFill>
                </w14:textFill>
              </w:rPr>
              <w:t>开发；且模块维修方便，可放手让学生操作、试验</w:t>
            </w:r>
            <w:r>
              <w:rPr>
                <w:rFonts w:hint="eastAsia" w:ascii="仿宋" w:hAnsi="仿宋" w:eastAsia="仿宋" w:cs="宋体"/>
                <w:color w:val="000000" w:themeColor="text1"/>
                <w:kern w:val="0"/>
                <w:szCs w:val="21"/>
                <w14:textFill>
                  <w14:solidFill>
                    <w14:schemeClr w14:val="tx1"/>
                  </w14:solidFill>
                </w14:textFill>
              </w:rPr>
              <w:t>；</w:t>
            </w:r>
            <w:r>
              <w:rPr>
                <w:rFonts w:ascii="仿宋" w:hAnsi="仿宋" w:eastAsia="仿宋" w:cs="宋体"/>
                <w:color w:val="000000" w:themeColor="text1"/>
                <w:kern w:val="0"/>
                <w:szCs w:val="21"/>
                <w14:textFill>
                  <w14:solidFill>
                    <w14:schemeClr w14:val="tx1"/>
                  </w14:solidFill>
                </w14:textFill>
              </w:rPr>
              <w:t>可完成</w:t>
            </w:r>
            <w:r>
              <w:rPr>
                <w:rFonts w:hint="eastAsia" w:ascii="仿宋" w:hAnsi="仿宋" w:eastAsia="仿宋" w:cs="宋体"/>
                <w:color w:val="000000" w:themeColor="text1"/>
                <w:kern w:val="0"/>
                <w:szCs w:val="21"/>
                <w14:textFill>
                  <w14:solidFill>
                    <w14:schemeClr w14:val="tx1"/>
                  </w14:solidFill>
                </w14:textFill>
              </w:rPr>
              <w:t>《</w:t>
            </w:r>
            <w:r>
              <w:rPr>
                <w:rFonts w:ascii="仿宋" w:hAnsi="仿宋" w:eastAsia="仿宋" w:cs="宋体"/>
                <w:color w:val="000000" w:themeColor="text1"/>
                <w:kern w:val="0"/>
                <w:szCs w:val="21"/>
                <w14:textFill>
                  <w14:solidFill>
                    <w14:schemeClr w14:val="tx1"/>
                  </w14:solidFill>
                </w14:textFill>
              </w:rPr>
              <w:t>模拟电子技术</w:t>
            </w:r>
            <w:r>
              <w:rPr>
                <w:rFonts w:hint="eastAsia" w:ascii="仿宋" w:hAnsi="仿宋" w:eastAsia="仿宋" w:cs="宋体"/>
                <w:color w:val="000000" w:themeColor="text1"/>
                <w:kern w:val="0"/>
                <w:szCs w:val="21"/>
                <w14:textFill>
                  <w14:solidFill>
                    <w14:schemeClr w14:val="tx1"/>
                  </w14:solidFill>
                </w14:textFill>
              </w:rPr>
              <w:t>》</w:t>
            </w:r>
            <w:r>
              <w:rPr>
                <w:rFonts w:ascii="仿宋" w:hAnsi="仿宋" w:eastAsia="仿宋" w:cs="宋体"/>
                <w:color w:val="000000" w:themeColor="text1"/>
                <w:kern w:val="0"/>
                <w:szCs w:val="21"/>
                <w14:textFill>
                  <w14:solidFill>
                    <w14:schemeClr w14:val="tx1"/>
                  </w14:solidFill>
                </w14:textFill>
              </w:rPr>
              <w:t>、</w:t>
            </w:r>
            <w:r>
              <w:rPr>
                <w:rFonts w:hint="eastAsia" w:ascii="仿宋" w:hAnsi="仿宋" w:eastAsia="仿宋" w:cs="宋体"/>
                <w:color w:val="000000" w:themeColor="text1"/>
                <w:kern w:val="0"/>
                <w:szCs w:val="21"/>
                <w14:textFill>
                  <w14:solidFill>
                    <w14:schemeClr w14:val="tx1"/>
                  </w14:solidFill>
                </w14:textFill>
              </w:rPr>
              <w:t>《</w:t>
            </w:r>
            <w:r>
              <w:rPr>
                <w:rFonts w:ascii="仿宋" w:hAnsi="仿宋" w:eastAsia="仿宋" w:cs="宋体"/>
                <w:color w:val="000000" w:themeColor="text1"/>
                <w:kern w:val="0"/>
                <w:szCs w:val="21"/>
                <w14:textFill>
                  <w14:solidFill>
                    <w14:schemeClr w14:val="tx1"/>
                  </w14:solidFill>
                </w14:textFill>
              </w:rPr>
              <w:t>数字电子技术</w:t>
            </w:r>
            <w:r>
              <w:rPr>
                <w:rFonts w:hint="eastAsia" w:ascii="仿宋" w:hAnsi="仿宋" w:eastAsia="仿宋" w:cs="宋体"/>
                <w:color w:val="000000" w:themeColor="text1"/>
                <w:kern w:val="0"/>
                <w:szCs w:val="21"/>
                <w14:textFill>
                  <w14:solidFill>
                    <w14:schemeClr w14:val="tx1"/>
                  </w14:solidFill>
                </w14:textFill>
              </w:rPr>
              <w:t>》</w:t>
            </w:r>
            <w:r>
              <w:rPr>
                <w:rFonts w:ascii="仿宋" w:hAnsi="仿宋" w:eastAsia="仿宋" w:cs="宋体"/>
                <w:color w:val="000000" w:themeColor="text1"/>
                <w:kern w:val="0"/>
                <w:szCs w:val="21"/>
                <w14:textFill>
                  <w14:solidFill>
                    <w14:schemeClr w14:val="tx1"/>
                  </w14:solidFill>
                </w14:textFill>
              </w:rPr>
              <w:t xml:space="preserve"> 等多门课的实验、实训项目</w:t>
            </w:r>
            <w:r>
              <w:rPr>
                <w:rFonts w:hint="eastAsia" w:ascii="仿宋" w:hAnsi="仿宋" w:eastAsia="仿宋" w:cs="宋体"/>
                <w:color w:val="000000" w:themeColor="text1"/>
                <w:kern w:val="0"/>
                <w:szCs w:val="21"/>
                <w14:textFill>
                  <w14:solidFill>
                    <w14:schemeClr w14:val="tx1"/>
                  </w14:solidFill>
                </w14:textFill>
              </w:rPr>
              <w:t>。</w:t>
            </w:r>
          </w:p>
        </w:tc>
        <w:tc>
          <w:tcPr>
            <w:tcW w:w="3161" w:type="dxa"/>
            <w:vAlign w:val="center"/>
          </w:tcPr>
          <w:p w14:paraId="1046CA0B">
            <w:pPr>
              <w:ind w:firstLine="420" w:firstLineChars="200"/>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支持</w:t>
            </w:r>
            <w:r>
              <w:rPr>
                <w:rFonts w:ascii="仿宋" w:hAnsi="仿宋" w:eastAsia="仿宋"/>
                <w:color w:val="000000" w:themeColor="text1"/>
                <w:szCs w:val="21"/>
                <w14:textFill>
                  <w14:solidFill>
                    <w14:schemeClr w14:val="tx1"/>
                  </w14:solidFill>
                </w14:textFill>
              </w:rPr>
              <w:t>电子元件识别与检测、电路板焊接、电子产品装配、电子产品调试、PCB 板图的设计等实训。</w:t>
            </w:r>
          </w:p>
          <w:p w14:paraId="39B18A7C">
            <w:pPr>
              <w:ind w:firstLine="420" w:firstLineChars="200"/>
              <w:rPr>
                <w:rFonts w:ascii="仿宋" w:hAnsi="仿宋" w:eastAsia="仿宋" w:cs="仿宋"/>
                <w:color w:val="000000" w:themeColor="text1"/>
                <w:szCs w:val="21"/>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设备能完全满足教育部2009年5月颁发的中等职业学校电子技术基础与技能教学大纲和广东省中等职业学校专业技能课程</w:t>
            </w:r>
            <w:r>
              <w:rPr>
                <w:rFonts w:ascii="仿宋" w:hAnsi="仿宋" w:eastAsia="仿宋" w:cs="仿宋"/>
                <w:color w:val="000000" w:themeColor="text1"/>
                <w:szCs w:val="21"/>
                <w14:textFill>
                  <w14:solidFill>
                    <w14:schemeClr w14:val="tx1"/>
                  </w14:solidFill>
                </w14:textFill>
              </w:rPr>
              <w:t>3</w:t>
            </w:r>
            <w:r>
              <w:rPr>
                <w:rFonts w:hint="eastAsia" w:ascii="仿宋" w:hAnsi="仿宋" w:eastAsia="仿宋" w:cs="仿宋"/>
                <w:color w:val="000000" w:themeColor="text1"/>
                <w:szCs w:val="21"/>
                <w14:textFill>
                  <w14:solidFill>
                    <w14:schemeClr w14:val="tx1"/>
                  </w14:solidFill>
                </w14:textFill>
              </w:rPr>
              <w:t>+证书 “电子课程”的教学及考证要求。</w:t>
            </w:r>
          </w:p>
        </w:tc>
      </w:tr>
    </w:tbl>
    <w:p w14:paraId="756BC3AD">
      <w:pPr>
        <w:numPr>
          <w:ilvl w:val="0"/>
          <w:numId w:val="7"/>
        </w:numPr>
        <w:outlineLvl w:val="1"/>
        <w:rPr>
          <w:rFonts w:ascii="楷体" w:hAnsi="楷体" w:eastAsia="楷体" w:cs="楷体"/>
          <w:color w:val="000000" w:themeColor="text1"/>
          <w:sz w:val="28"/>
          <w:szCs w:val="28"/>
          <w14:textFill>
            <w14:solidFill>
              <w14:schemeClr w14:val="tx1"/>
            </w14:solidFill>
          </w14:textFill>
        </w:rPr>
      </w:pPr>
      <w:bookmarkStart w:id="18" w:name="_Toc171066605"/>
      <w:r>
        <w:rPr>
          <w:rFonts w:hint="eastAsia" w:ascii="楷体" w:hAnsi="楷体" w:eastAsia="楷体" w:cs="楷体"/>
          <w:color w:val="000000" w:themeColor="text1"/>
          <w:sz w:val="28"/>
          <w:szCs w:val="28"/>
          <w14:textFill>
            <w14:solidFill>
              <w14:schemeClr w14:val="tx1"/>
            </w14:solidFill>
          </w14:textFill>
        </w:rPr>
        <w:t>教学建议</w:t>
      </w:r>
      <w:bookmarkEnd w:id="18"/>
    </w:p>
    <w:p w14:paraId="1EA9B3D2">
      <w:pPr>
        <w:ind w:firstLine="420" w:firstLineChars="200"/>
        <w:rPr>
          <w:rFonts w:ascii="仿宋" w:hAnsi="仿宋" w:eastAsia="仿宋"/>
        </w:rPr>
      </w:pPr>
      <w:r>
        <w:rPr>
          <w:rFonts w:hint="eastAsia" w:ascii="仿宋" w:hAnsi="仿宋" w:eastAsia="仿宋"/>
        </w:rPr>
        <w:t>1. 以学生发展为本，重视培养学生的综合素质和职业能力，以适应电工电子技术快速发展带来的职业岗位变化，为学生的可持续发展奠定基础。为适应不同专业及学生学习需求的多样性，可通过对选学模块教学内容的灵活选择，体现课程内容的选择性和教学要求的差异性。教学过程中，应融入对学生职业道德和职业意识的培养。</w:t>
      </w:r>
    </w:p>
    <w:p w14:paraId="735B0B18">
      <w:pPr>
        <w:ind w:firstLine="420" w:firstLineChars="200"/>
        <w:rPr>
          <w:rFonts w:ascii="仿宋" w:hAnsi="仿宋" w:eastAsia="仿宋"/>
        </w:rPr>
      </w:pPr>
      <w:r>
        <w:rPr>
          <w:rFonts w:hint="eastAsia" w:ascii="仿宋" w:hAnsi="仿宋" w:eastAsia="仿宋"/>
        </w:rPr>
        <w:t>2. 坚持“做中学、做中教”，积极探索理论和实践相结合的教学模式，使电工电子技术理论的学习和技能的训练与生产生活中的实际应用相结合。引导学生通过学习过程的体验或典型电工电子产品的制作等，提高学习兴趣，激发学习动力，掌握相应的知识和技能。</w:t>
      </w:r>
    </w:p>
    <w:p w14:paraId="31995B73">
      <w:pPr>
        <w:outlineLvl w:val="0"/>
        <w:rPr>
          <w:rFonts w:ascii="黑体" w:hAnsi="黑体" w:eastAsia="黑体" w:cs="黑体"/>
          <w:color w:val="000000" w:themeColor="text1"/>
          <w:sz w:val="28"/>
          <w:szCs w:val="28"/>
          <w14:textFill>
            <w14:solidFill>
              <w14:schemeClr w14:val="tx1"/>
            </w14:solidFill>
          </w14:textFill>
        </w:rPr>
        <w:sectPr>
          <w:pgSz w:w="11906" w:h="16838"/>
          <w:pgMar w:top="1440" w:right="1800" w:bottom="1440" w:left="1800" w:header="851" w:footer="992" w:gutter="0"/>
          <w:cols w:space="425" w:num="1"/>
          <w:titlePg/>
          <w:docGrid w:type="lines" w:linePitch="312" w:charSpace="0"/>
        </w:sectPr>
      </w:pPr>
    </w:p>
    <w:p w14:paraId="0D8A08EC">
      <w:pPr>
        <w:outlineLvl w:val="0"/>
        <w:rPr>
          <w:rFonts w:ascii="黑体" w:hAnsi="黑体" w:eastAsia="黑体" w:cs="黑体"/>
          <w:color w:val="000000" w:themeColor="text1"/>
          <w:sz w:val="28"/>
          <w:szCs w:val="28"/>
          <w14:textFill>
            <w14:solidFill>
              <w14:schemeClr w14:val="tx1"/>
            </w14:solidFill>
          </w14:textFill>
        </w:rPr>
      </w:pPr>
      <w:bookmarkStart w:id="19" w:name="_Toc171066606"/>
      <w:r>
        <w:rPr>
          <w:rFonts w:hint="eastAsia" w:ascii="黑体" w:hAnsi="黑体" w:eastAsia="黑体" w:cs="黑体"/>
          <w:color w:val="000000" w:themeColor="text1"/>
          <w:sz w:val="28"/>
          <w:szCs w:val="28"/>
          <w14:textFill>
            <w14:solidFill>
              <w14:schemeClr w14:val="tx1"/>
            </w14:solidFill>
          </w14:textFill>
        </w:rPr>
        <w:t>七、授课进度与安排</w:t>
      </w:r>
      <w:bookmarkEnd w:id="19"/>
    </w:p>
    <w:p w14:paraId="03850CFF">
      <w:pPr>
        <w:pStyle w:val="3"/>
        <w:jc w:val="center"/>
        <w:rPr>
          <w:rFonts w:ascii="仿宋" w:hAnsi="仿宋" w:eastAsia="仿宋" w:cs="仿宋"/>
          <w:b/>
          <w:bCs/>
          <w:color w:val="000000" w:themeColor="text1"/>
          <w:sz w:val="21"/>
          <w:szCs w:val="21"/>
          <w14:textFill>
            <w14:solidFill>
              <w14:schemeClr w14:val="tx1"/>
            </w14:solidFill>
          </w14:textFill>
        </w:rPr>
      </w:pPr>
      <w:r>
        <w:rPr>
          <w:rFonts w:hint="eastAsia" w:ascii="仿宋" w:hAnsi="仿宋" w:eastAsia="仿宋" w:cs="仿宋"/>
          <w:b/>
          <w:bCs/>
          <w:color w:val="000000" w:themeColor="text1"/>
          <w:sz w:val="21"/>
          <w:szCs w:val="21"/>
          <w14:textFill>
            <w14:solidFill>
              <w14:schemeClr w14:val="tx1"/>
            </w14:solidFill>
          </w14:textFill>
        </w:rPr>
        <w:t xml:space="preserve">表 </w:t>
      </w:r>
      <w:r>
        <w:rPr>
          <w:rFonts w:hint="eastAsia" w:ascii="仿宋" w:hAnsi="仿宋" w:eastAsia="仿宋" w:cs="仿宋"/>
          <w:b/>
          <w:bCs/>
          <w:color w:val="000000" w:themeColor="text1"/>
          <w:sz w:val="21"/>
          <w:szCs w:val="21"/>
          <w14:textFill>
            <w14:solidFill>
              <w14:schemeClr w14:val="tx1"/>
            </w14:solidFill>
          </w14:textFill>
        </w:rPr>
        <w:fldChar w:fldCharType="begin"/>
      </w:r>
      <w:r>
        <w:rPr>
          <w:rFonts w:hint="eastAsia" w:ascii="仿宋" w:hAnsi="仿宋" w:eastAsia="仿宋" w:cs="仿宋"/>
          <w:b/>
          <w:bCs/>
          <w:color w:val="000000" w:themeColor="text1"/>
          <w:sz w:val="21"/>
          <w:szCs w:val="21"/>
          <w14:textFill>
            <w14:solidFill>
              <w14:schemeClr w14:val="tx1"/>
            </w14:solidFill>
          </w14:textFill>
        </w:rPr>
        <w:instrText xml:space="preserve"> SEQ 表 \* ARABIC </w:instrText>
      </w:r>
      <w:r>
        <w:rPr>
          <w:rFonts w:hint="eastAsia" w:ascii="仿宋" w:hAnsi="仿宋" w:eastAsia="仿宋" w:cs="仿宋"/>
          <w:b/>
          <w:bCs/>
          <w:color w:val="000000" w:themeColor="text1"/>
          <w:sz w:val="21"/>
          <w:szCs w:val="21"/>
          <w14:textFill>
            <w14:solidFill>
              <w14:schemeClr w14:val="tx1"/>
            </w14:solidFill>
          </w14:textFill>
        </w:rPr>
        <w:fldChar w:fldCharType="separate"/>
      </w:r>
      <w:r>
        <w:rPr>
          <w:rFonts w:hint="eastAsia" w:ascii="仿宋" w:hAnsi="仿宋" w:eastAsia="仿宋" w:cs="仿宋"/>
          <w:b/>
          <w:bCs/>
          <w:color w:val="000000" w:themeColor="text1"/>
          <w:sz w:val="21"/>
          <w:szCs w:val="21"/>
          <w14:textFill>
            <w14:solidFill>
              <w14:schemeClr w14:val="tx1"/>
            </w14:solidFill>
          </w14:textFill>
        </w:rPr>
        <w:t>6</w:t>
      </w:r>
      <w:r>
        <w:rPr>
          <w:rFonts w:hint="eastAsia" w:ascii="仿宋" w:hAnsi="仿宋" w:eastAsia="仿宋" w:cs="仿宋"/>
          <w:b/>
          <w:bCs/>
          <w:color w:val="000000" w:themeColor="text1"/>
          <w:sz w:val="21"/>
          <w:szCs w:val="21"/>
          <w14:textFill>
            <w14:solidFill>
              <w14:schemeClr w14:val="tx1"/>
            </w14:solidFill>
          </w14:textFill>
        </w:rPr>
        <w:fldChar w:fldCharType="end"/>
      </w:r>
      <w:r>
        <w:rPr>
          <w:rFonts w:hint="eastAsia" w:ascii="仿宋" w:hAnsi="仿宋" w:eastAsia="仿宋" w:cs="仿宋"/>
          <w:b/>
          <w:bCs/>
          <w:color w:val="000000" w:themeColor="text1"/>
          <w:sz w:val="21"/>
          <w:szCs w:val="21"/>
          <w14:textFill>
            <w14:solidFill>
              <w14:schemeClr w14:val="tx1"/>
            </w14:solidFill>
          </w14:textFill>
        </w:rPr>
        <w:t xml:space="preserve"> 授课进度与安排表</w:t>
      </w:r>
    </w:p>
    <w:p w14:paraId="684F6DC4"/>
    <w:tbl>
      <w:tblPr>
        <w:tblStyle w:val="11"/>
        <w:tblW w:w="7271" w:type="dxa"/>
        <w:jc w:val="center"/>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521"/>
        <w:gridCol w:w="28"/>
        <w:gridCol w:w="4485"/>
        <w:gridCol w:w="619"/>
        <w:gridCol w:w="618"/>
      </w:tblGrid>
      <w:tr w14:paraId="07B4B5E2">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1065" w:type="pct"/>
            <w:gridSpan w:val="2"/>
            <w:vAlign w:val="center"/>
          </w:tcPr>
          <w:p w14:paraId="73D9FB5A">
            <w:pPr>
              <w:pStyle w:val="25"/>
              <w:ind w:firstLine="0" w:firstLineChars="0"/>
              <w:jc w:val="center"/>
              <w:rPr>
                <w:b/>
              </w:rPr>
            </w:pPr>
            <w:r>
              <w:rPr>
                <w:rFonts w:hint="eastAsia"/>
                <w:b/>
              </w:rPr>
              <w:t>项目</w:t>
            </w:r>
          </w:p>
        </w:tc>
        <w:tc>
          <w:tcPr>
            <w:tcW w:w="3083" w:type="pct"/>
            <w:vAlign w:val="center"/>
          </w:tcPr>
          <w:p w14:paraId="653E0410">
            <w:pPr>
              <w:pStyle w:val="25"/>
              <w:ind w:firstLine="210"/>
              <w:jc w:val="center"/>
              <w:rPr>
                <w:b/>
              </w:rPr>
            </w:pPr>
            <w:r>
              <w:rPr>
                <w:b/>
                <w:kern w:val="0"/>
              </w:rPr>
              <w:t>教学单元</w:t>
            </w:r>
          </w:p>
        </w:tc>
        <w:tc>
          <w:tcPr>
            <w:tcW w:w="851" w:type="pct"/>
            <w:gridSpan w:val="2"/>
            <w:tcMar>
              <w:left w:w="0" w:type="dxa"/>
              <w:right w:w="0" w:type="dxa"/>
            </w:tcMar>
            <w:vAlign w:val="center"/>
          </w:tcPr>
          <w:p w14:paraId="0C8C9174">
            <w:pPr>
              <w:pStyle w:val="25"/>
              <w:ind w:firstLine="0" w:firstLineChars="0"/>
              <w:jc w:val="center"/>
              <w:rPr>
                <w:b/>
              </w:rPr>
            </w:pPr>
            <w:r>
              <w:rPr>
                <w:b/>
                <w:kern w:val="0"/>
              </w:rPr>
              <w:t>学时</w:t>
            </w:r>
          </w:p>
        </w:tc>
      </w:tr>
      <w:tr w14:paraId="12E8CF6C">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46" w:type="pct"/>
            <w:vMerge w:val="restart"/>
            <w:tcMar>
              <w:left w:w="28" w:type="dxa"/>
              <w:right w:w="28" w:type="dxa"/>
            </w:tcMar>
            <w:vAlign w:val="center"/>
          </w:tcPr>
          <w:p w14:paraId="658FAF84">
            <w:pPr>
              <w:pStyle w:val="25"/>
              <w:ind w:firstLine="210"/>
            </w:pPr>
            <w:r>
              <w:rPr>
                <w:rFonts w:hint="eastAsia"/>
                <w:kern w:val="0"/>
              </w:rPr>
              <w:t>电路基础</w:t>
            </w:r>
          </w:p>
        </w:tc>
        <w:tc>
          <w:tcPr>
            <w:tcW w:w="3103" w:type="pct"/>
            <w:gridSpan w:val="2"/>
            <w:vAlign w:val="center"/>
          </w:tcPr>
          <w:p w14:paraId="544D3637">
            <w:pPr>
              <w:pStyle w:val="25"/>
              <w:ind w:firstLine="210"/>
              <w:rPr>
                <w:kern w:val="0"/>
              </w:rPr>
            </w:pPr>
            <w:r>
              <w:rPr>
                <w:kern w:val="0"/>
              </w:rPr>
              <w:t>认识实训室与安全用电</w:t>
            </w:r>
          </w:p>
        </w:tc>
        <w:tc>
          <w:tcPr>
            <w:tcW w:w="426" w:type="pct"/>
            <w:vAlign w:val="center"/>
          </w:tcPr>
          <w:p w14:paraId="3125BEF6">
            <w:pPr>
              <w:pStyle w:val="25"/>
              <w:ind w:firstLine="0" w:firstLineChars="0"/>
              <w:jc w:val="center"/>
              <w:rPr>
                <w:kern w:val="0"/>
              </w:rPr>
            </w:pPr>
            <w:r>
              <w:rPr>
                <w:kern w:val="0"/>
              </w:rPr>
              <w:t>2</w:t>
            </w:r>
          </w:p>
        </w:tc>
        <w:tc>
          <w:tcPr>
            <w:tcW w:w="426" w:type="pct"/>
            <w:vMerge w:val="restart"/>
            <w:vAlign w:val="center"/>
          </w:tcPr>
          <w:p w14:paraId="101BBB30">
            <w:pPr>
              <w:pStyle w:val="25"/>
              <w:ind w:firstLine="0" w:firstLineChars="0"/>
              <w:jc w:val="center"/>
              <w:rPr>
                <w:kern w:val="0"/>
              </w:rPr>
            </w:pPr>
            <w:r>
              <w:rPr>
                <w:kern w:val="0"/>
              </w:rPr>
              <w:t>54</w:t>
            </w:r>
          </w:p>
        </w:tc>
      </w:tr>
      <w:tr w14:paraId="6875B0B3">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46" w:type="pct"/>
            <w:vMerge w:val="continue"/>
            <w:tcMar>
              <w:left w:w="28" w:type="dxa"/>
              <w:right w:w="28" w:type="dxa"/>
            </w:tcMar>
            <w:vAlign w:val="center"/>
          </w:tcPr>
          <w:p w14:paraId="682BE029">
            <w:pPr>
              <w:pStyle w:val="25"/>
              <w:ind w:firstLine="210"/>
              <w:rPr>
                <w:kern w:val="0"/>
              </w:rPr>
            </w:pPr>
          </w:p>
        </w:tc>
        <w:tc>
          <w:tcPr>
            <w:tcW w:w="3103" w:type="pct"/>
            <w:gridSpan w:val="2"/>
            <w:vAlign w:val="center"/>
          </w:tcPr>
          <w:p w14:paraId="76436300">
            <w:pPr>
              <w:pStyle w:val="25"/>
              <w:ind w:firstLine="210"/>
              <w:rPr>
                <w:kern w:val="0"/>
              </w:rPr>
            </w:pPr>
            <w:r>
              <w:rPr>
                <w:kern w:val="0"/>
              </w:rPr>
              <w:t>直流电路</w:t>
            </w:r>
          </w:p>
        </w:tc>
        <w:tc>
          <w:tcPr>
            <w:tcW w:w="426" w:type="pct"/>
            <w:vAlign w:val="center"/>
          </w:tcPr>
          <w:p w14:paraId="1239FC9A">
            <w:pPr>
              <w:pStyle w:val="25"/>
              <w:ind w:firstLine="0" w:firstLineChars="0"/>
              <w:jc w:val="center"/>
              <w:rPr>
                <w:kern w:val="0"/>
              </w:rPr>
            </w:pPr>
            <w:r>
              <w:t>8</w:t>
            </w:r>
          </w:p>
        </w:tc>
        <w:tc>
          <w:tcPr>
            <w:tcW w:w="426" w:type="pct"/>
            <w:vMerge w:val="continue"/>
            <w:vAlign w:val="center"/>
          </w:tcPr>
          <w:p w14:paraId="559C4E53">
            <w:pPr>
              <w:pStyle w:val="25"/>
              <w:ind w:firstLine="0" w:firstLineChars="0"/>
              <w:jc w:val="center"/>
              <w:rPr>
                <w:kern w:val="0"/>
              </w:rPr>
            </w:pPr>
          </w:p>
        </w:tc>
      </w:tr>
      <w:tr w14:paraId="2F576A7F">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46" w:type="pct"/>
            <w:vMerge w:val="continue"/>
            <w:tcMar>
              <w:left w:w="28" w:type="dxa"/>
              <w:right w:w="28" w:type="dxa"/>
            </w:tcMar>
            <w:vAlign w:val="center"/>
          </w:tcPr>
          <w:p w14:paraId="1525EEED">
            <w:pPr>
              <w:pStyle w:val="25"/>
              <w:ind w:firstLine="210"/>
            </w:pPr>
          </w:p>
        </w:tc>
        <w:tc>
          <w:tcPr>
            <w:tcW w:w="3103" w:type="pct"/>
            <w:gridSpan w:val="2"/>
            <w:vAlign w:val="center"/>
          </w:tcPr>
          <w:p w14:paraId="6B4BA8C7">
            <w:pPr>
              <w:pStyle w:val="25"/>
              <w:ind w:firstLine="210"/>
              <w:rPr>
                <w:kern w:val="0"/>
              </w:rPr>
            </w:pPr>
            <w:r>
              <w:rPr>
                <w:kern w:val="0"/>
              </w:rPr>
              <w:t>电容与电感</w:t>
            </w:r>
          </w:p>
        </w:tc>
        <w:tc>
          <w:tcPr>
            <w:tcW w:w="426" w:type="pct"/>
            <w:vAlign w:val="center"/>
          </w:tcPr>
          <w:p w14:paraId="5096BA5A">
            <w:pPr>
              <w:pStyle w:val="25"/>
              <w:ind w:firstLine="0" w:firstLineChars="0"/>
              <w:jc w:val="center"/>
              <w:rPr>
                <w:kern w:val="0"/>
              </w:rPr>
            </w:pPr>
            <w:r>
              <w:rPr>
                <w:kern w:val="0"/>
              </w:rPr>
              <w:t>2</w:t>
            </w:r>
          </w:p>
        </w:tc>
        <w:tc>
          <w:tcPr>
            <w:tcW w:w="426" w:type="pct"/>
            <w:vMerge w:val="continue"/>
            <w:vAlign w:val="center"/>
          </w:tcPr>
          <w:p w14:paraId="4177E34A">
            <w:pPr>
              <w:pStyle w:val="25"/>
              <w:ind w:firstLine="0" w:firstLineChars="0"/>
              <w:jc w:val="center"/>
              <w:rPr>
                <w:kern w:val="0"/>
              </w:rPr>
            </w:pPr>
          </w:p>
        </w:tc>
      </w:tr>
      <w:tr w14:paraId="5705A8EB">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46" w:type="pct"/>
            <w:vMerge w:val="continue"/>
            <w:tcMar>
              <w:left w:w="28" w:type="dxa"/>
              <w:right w:w="28" w:type="dxa"/>
            </w:tcMar>
            <w:vAlign w:val="center"/>
          </w:tcPr>
          <w:p w14:paraId="793CE014">
            <w:pPr>
              <w:pStyle w:val="25"/>
              <w:ind w:firstLine="210"/>
            </w:pPr>
          </w:p>
        </w:tc>
        <w:tc>
          <w:tcPr>
            <w:tcW w:w="3103" w:type="pct"/>
            <w:gridSpan w:val="2"/>
            <w:vAlign w:val="center"/>
          </w:tcPr>
          <w:p w14:paraId="2F6D61B8">
            <w:pPr>
              <w:pStyle w:val="25"/>
              <w:ind w:firstLine="210"/>
              <w:rPr>
                <w:kern w:val="0"/>
              </w:rPr>
            </w:pPr>
            <w:r>
              <w:rPr>
                <w:kern w:val="0"/>
              </w:rPr>
              <w:t>单相正弦交流电路</w:t>
            </w:r>
          </w:p>
        </w:tc>
        <w:tc>
          <w:tcPr>
            <w:tcW w:w="426" w:type="pct"/>
            <w:vAlign w:val="center"/>
          </w:tcPr>
          <w:p w14:paraId="124A8C77">
            <w:pPr>
              <w:pStyle w:val="25"/>
              <w:ind w:firstLine="0" w:firstLineChars="0"/>
              <w:jc w:val="center"/>
              <w:rPr>
                <w:kern w:val="0"/>
              </w:rPr>
            </w:pPr>
            <w:r>
              <w:rPr>
                <w:kern w:val="0"/>
              </w:rPr>
              <w:t>8</w:t>
            </w:r>
          </w:p>
        </w:tc>
        <w:tc>
          <w:tcPr>
            <w:tcW w:w="426" w:type="pct"/>
            <w:vMerge w:val="continue"/>
            <w:vAlign w:val="center"/>
          </w:tcPr>
          <w:p w14:paraId="50FB62AF">
            <w:pPr>
              <w:pStyle w:val="25"/>
              <w:ind w:firstLine="0" w:firstLineChars="0"/>
              <w:jc w:val="center"/>
              <w:rPr>
                <w:kern w:val="0"/>
              </w:rPr>
            </w:pPr>
          </w:p>
        </w:tc>
      </w:tr>
      <w:tr w14:paraId="7F7C0E53">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46" w:type="pct"/>
            <w:vMerge w:val="continue"/>
            <w:tcMar>
              <w:left w:w="28" w:type="dxa"/>
              <w:right w:w="28" w:type="dxa"/>
            </w:tcMar>
            <w:vAlign w:val="center"/>
          </w:tcPr>
          <w:p w14:paraId="75E625A8">
            <w:pPr>
              <w:pStyle w:val="25"/>
              <w:ind w:firstLine="210"/>
            </w:pPr>
          </w:p>
        </w:tc>
        <w:tc>
          <w:tcPr>
            <w:tcW w:w="3103" w:type="pct"/>
            <w:gridSpan w:val="2"/>
            <w:vAlign w:val="center"/>
          </w:tcPr>
          <w:p w14:paraId="193FA282">
            <w:pPr>
              <w:pStyle w:val="25"/>
              <w:ind w:firstLine="210"/>
              <w:rPr>
                <w:kern w:val="0"/>
              </w:rPr>
            </w:pPr>
            <w:r>
              <w:rPr>
                <w:kern w:val="0"/>
              </w:rPr>
              <w:t>三相正弦交流电路</w:t>
            </w:r>
          </w:p>
        </w:tc>
        <w:tc>
          <w:tcPr>
            <w:tcW w:w="426" w:type="pct"/>
            <w:vAlign w:val="center"/>
          </w:tcPr>
          <w:p w14:paraId="394A0E19">
            <w:pPr>
              <w:pStyle w:val="25"/>
              <w:ind w:firstLine="0" w:firstLineChars="0"/>
              <w:jc w:val="center"/>
              <w:rPr>
                <w:kern w:val="0"/>
              </w:rPr>
            </w:pPr>
            <w:r>
              <w:rPr>
                <w:kern w:val="0"/>
              </w:rPr>
              <w:t>2</w:t>
            </w:r>
          </w:p>
        </w:tc>
        <w:tc>
          <w:tcPr>
            <w:tcW w:w="426" w:type="pct"/>
            <w:vMerge w:val="continue"/>
            <w:vAlign w:val="center"/>
          </w:tcPr>
          <w:p w14:paraId="690BA9C0">
            <w:pPr>
              <w:pStyle w:val="25"/>
              <w:ind w:firstLine="0" w:firstLineChars="0"/>
              <w:jc w:val="center"/>
              <w:rPr>
                <w:kern w:val="0"/>
              </w:rPr>
            </w:pPr>
          </w:p>
        </w:tc>
      </w:tr>
      <w:tr w14:paraId="19A6BF13">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1046" w:type="pct"/>
            <w:vMerge w:val="restart"/>
            <w:tcMar>
              <w:left w:w="28" w:type="dxa"/>
              <w:right w:w="28" w:type="dxa"/>
            </w:tcMar>
            <w:vAlign w:val="center"/>
          </w:tcPr>
          <w:p w14:paraId="5D026838">
            <w:pPr>
              <w:pStyle w:val="25"/>
              <w:ind w:firstLine="210"/>
            </w:pPr>
            <w:r>
              <w:rPr>
                <w:rFonts w:hint="eastAsia"/>
                <w:kern w:val="0"/>
              </w:rPr>
              <w:t>电工技术</w:t>
            </w:r>
          </w:p>
        </w:tc>
        <w:tc>
          <w:tcPr>
            <w:tcW w:w="3103" w:type="pct"/>
            <w:gridSpan w:val="2"/>
            <w:vAlign w:val="center"/>
          </w:tcPr>
          <w:p w14:paraId="406504E9">
            <w:pPr>
              <w:pStyle w:val="25"/>
              <w:ind w:firstLine="210"/>
              <w:rPr>
                <w:kern w:val="0"/>
              </w:rPr>
            </w:pPr>
            <w:r>
              <w:rPr>
                <w:kern w:val="0"/>
              </w:rPr>
              <w:t>用电技术</w:t>
            </w:r>
          </w:p>
        </w:tc>
        <w:tc>
          <w:tcPr>
            <w:tcW w:w="426" w:type="pct"/>
            <w:vAlign w:val="center"/>
          </w:tcPr>
          <w:p w14:paraId="7E7A2CF1">
            <w:pPr>
              <w:pStyle w:val="25"/>
              <w:ind w:firstLine="0" w:firstLineChars="0"/>
              <w:jc w:val="center"/>
              <w:rPr>
                <w:kern w:val="0"/>
              </w:rPr>
            </w:pPr>
            <w:r>
              <w:rPr>
                <w:kern w:val="0"/>
              </w:rPr>
              <w:t>1</w:t>
            </w:r>
          </w:p>
        </w:tc>
        <w:tc>
          <w:tcPr>
            <w:tcW w:w="426" w:type="pct"/>
            <w:vMerge w:val="continue"/>
            <w:vAlign w:val="center"/>
          </w:tcPr>
          <w:p w14:paraId="301B12A3">
            <w:pPr>
              <w:pStyle w:val="25"/>
              <w:ind w:firstLine="0" w:firstLineChars="0"/>
              <w:jc w:val="center"/>
              <w:rPr>
                <w:kern w:val="0"/>
              </w:rPr>
            </w:pPr>
          </w:p>
        </w:tc>
      </w:tr>
      <w:tr w14:paraId="17CAAD8C">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46" w:type="pct"/>
            <w:vMerge w:val="continue"/>
            <w:tcMar>
              <w:left w:w="28" w:type="dxa"/>
              <w:right w:w="28" w:type="dxa"/>
            </w:tcMar>
            <w:vAlign w:val="center"/>
          </w:tcPr>
          <w:p w14:paraId="7F94C11A">
            <w:pPr>
              <w:pStyle w:val="25"/>
              <w:ind w:firstLine="210"/>
            </w:pPr>
          </w:p>
        </w:tc>
        <w:tc>
          <w:tcPr>
            <w:tcW w:w="3103" w:type="pct"/>
            <w:gridSpan w:val="2"/>
            <w:vAlign w:val="center"/>
          </w:tcPr>
          <w:p w14:paraId="08C11037">
            <w:pPr>
              <w:pStyle w:val="25"/>
              <w:ind w:firstLine="210"/>
              <w:rPr>
                <w:kern w:val="0"/>
              </w:rPr>
            </w:pPr>
            <w:r>
              <w:rPr>
                <w:kern w:val="0"/>
              </w:rPr>
              <w:t>常用电器</w:t>
            </w:r>
          </w:p>
        </w:tc>
        <w:tc>
          <w:tcPr>
            <w:tcW w:w="426" w:type="pct"/>
            <w:vAlign w:val="center"/>
          </w:tcPr>
          <w:p w14:paraId="7197B491">
            <w:pPr>
              <w:pStyle w:val="25"/>
              <w:ind w:firstLine="0" w:firstLineChars="0"/>
              <w:jc w:val="center"/>
              <w:rPr>
                <w:kern w:val="0"/>
              </w:rPr>
            </w:pPr>
            <w:r>
              <w:rPr>
                <w:kern w:val="0"/>
              </w:rPr>
              <w:t>6</w:t>
            </w:r>
          </w:p>
        </w:tc>
        <w:tc>
          <w:tcPr>
            <w:tcW w:w="426" w:type="pct"/>
            <w:vMerge w:val="continue"/>
            <w:vAlign w:val="center"/>
          </w:tcPr>
          <w:p w14:paraId="63F70D6B">
            <w:pPr>
              <w:pStyle w:val="25"/>
              <w:ind w:firstLine="0" w:firstLineChars="0"/>
              <w:jc w:val="center"/>
              <w:rPr>
                <w:kern w:val="0"/>
              </w:rPr>
            </w:pPr>
          </w:p>
        </w:tc>
      </w:tr>
      <w:tr w14:paraId="77F8C1C7">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46" w:type="pct"/>
            <w:vMerge w:val="continue"/>
            <w:tcMar>
              <w:left w:w="28" w:type="dxa"/>
              <w:right w:w="28" w:type="dxa"/>
            </w:tcMar>
            <w:vAlign w:val="center"/>
          </w:tcPr>
          <w:p w14:paraId="591E9EC0">
            <w:pPr>
              <w:pStyle w:val="25"/>
              <w:ind w:firstLine="210"/>
            </w:pPr>
          </w:p>
        </w:tc>
        <w:tc>
          <w:tcPr>
            <w:tcW w:w="3103" w:type="pct"/>
            <w:gridSpan w:val="2"/>
            <w:vAlign w:val="center"/>
          </w:tcPr>
          <w:p w14:paraId="06BD066B">
            <w:pPr>
              <w:pStyle w:val="25"/>
              <w:ind w:firstLine="210"/>
              <w:rPr>
                <w:kern w:val="0"/>
              </w:rPr>
            </w:pPr>
            <w:r>
              <w:rPr>
                <w:kern w:val="0"/>
              </w:rPr>
              <w:t>三相异步电动机的基本控制</w:t>
            </w:r>
          </w:p>
        </w:tc>
        <w:tc>
          <w:tcPr>
            <w:tcW w:w="426" w:type="pct"/>
            <w:vAlign w:val="center"/>
          </w:tcPr>
          <w:p w14:paraId="1CABE21B">
            <w:pPr>
              <w:pStyle w:val="25"/>
              <w:ind w:firstLine="0" w:firstLineChars="0"/>
              <w:jc w:val="center"/>
              <w:rPr>
                <w:kern w:val="0"/>
              </w:rPr>
            </w:pPr>
            <w:r>
              <w:rPr>
                <w:kern w:val="0"/>
              </w:rPr>
              <w:t>2</w:t>
            </w:r>
          </w:p>
        </w:tc>
        <w:tc>
          <w:tcPr>
            <w:tcW w:w="426" w:type="pct"/>
            <w:vMerge w:val="continue"/>
            <w:vAlign w:val="center"/>
          </w:tcPr>
          <w:p w14:paraId="090DF83C">
            <w:pPr>
              <w:pStyle w:val="25"/>
              <w:ind w:firstLine="0" w:firstLineChars="0"/>
              <w:jc w:val="center"/>
              <w:rPr>
                <w:kern w:val="0"/>
              </w:rPr>
            </w:pPr>
          </w:p>
        </w:tc>
      </w:tr>
      <w:tr w14:paraId="4BED6095">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46" w:type="pct"/>
            <w:vMerge w:val="restart"/>
            <w:tcMar>
              <w:left w:w="28" w:type="dxa"/>
              <w:right w:w="28" w:type="dxa"/>
            </w:tcMar>
            <w:vAlign w:val="center"/>
          </w:tcPr>
          <w:p w14:paraId="2A7BE5C5">
            <w:pPr>
              <w:pStyle w:val="25"/>
              <w:ind w:firstLine="198"/>
              <w:rPr>
                <w:spacing w:val="-6"/>
              </w:rPr>
            </w:pPr>
            <w:r>
              <w:rPr>
                <w:rFonts w:hint="eastAsia"/>
                <w:spacing w:val="-6"/>
                <w:kern w:val="0"/>
              </w:rPr>
              <w:t>模拟电子技术</w:t>
            </w:r>
          </w:p>
        </w:tc>
        <w:tc>
          <w:tcPr>
            <w:tcW w:w="3103" w:type="pct"/>
            <w:gridSpan w:val="2"/>
            <w:vAlign w:val="center"/>
          </w:tcPr>
          <w:p w14:paraId="6E2A85B0">
            <w:pPr>
              <w:pStyle w:val="25"/>
              <w:ind w:firstLine="210"/>
              <w:rPr>
                <w:kern w:val="0"/>
              </w:rPr>
            </w:pPr>
            <w:r>
              <w:rPr>
                <w:kern w:val="0"/>
              </w:rPr>
              <w:t>认识实训室与基本技能训练</w:t>
            </w:r>
          </w:p>
        </w:tc>
        <w:tc>
          <w:tcPr>
            <w:tcW w:w="426" w:type="pct"/>
            <w:vAlign w:val="center"/>
          </w:tcPr>
          <w:p w14:paraId="7057A9F2">
            <w:pPr>
              <w:pStyle w:val="25"/>
              <w:ind w:firstLine="0" w:firstLineChars="0"/>
              <w:jc w:val="center"/>
              <w:rPr>
                <w:kern w:val="0"/>
              </w:rPr>
            </w:pPr>
            <w:r>
              <w:rPr>
                <w:kern w:val="0"/>
              </w:rPr>
              <w:t>2</w:t>
            </w:r>
          </w:p>
        </w:tc>
        <w:tc>
          <w:tcPr>
            <w:tcW w:w="426" w:type="pct"/>
            <w:vMerge w:val="continue"/>
            <w:vAlign w:val="center"/>
          </w:tcPr>
          <w:p w14:paraId="6E1F903D">
            <w:pPr>
              <w:pStyle w:val="25"/>
              <w:ind w:firstLine="0" w:firstLineChars="0"/>
              <w:jc w:val="center"/>
              <w:rPr>
                <w:kern w:val="0"/>
              </w:rPr>
            </w:pPr>
          </w:p>
        </w:tc>
      </w:tr>
      <w:tr w14:paraId="6FE00F74">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46" w:type="pct"/>
            <w:vMerge w:val="continue"/>
            <w:tcMar>
              <w:left w:w="28" w:type="dxa"/>
              <w:right w:w="28" w:type="dxa"/>
            </w:tcMar>
            <w:vAlign w:val="center"/>
          </w:tcPr>
          <w:p w14:paraId="2BF63FA1">
            <w:pPr>
              <w:pStyle w:val="25"/>
              <w:ind w:firstLine="198"/>
              <w:rPr>
                <w:spacing w:val="-6"/>
                <w:kern w:val="0"/>
              </w:rPr>
            </w:pPr>
          </w:p>
        </w:tc>
        <w:tc>
          <w:tcPr>
            <w:tcW w:w="3103" w:type="pct"/>
            <w:gridSpan w:val="2"/>
            <w:vAlign w:val="center"/>
          </w:tcPr>
          <w:p w14:paraId="20F3DDC7">
            <w:pPr>
              <w:pStyle w:val="25"/>
              <w:ind w:firstLine="210"/>
              <w:rPr>
                <w:kern w:val="0"/>
              </w:rPr>
            </w:pPr>
            <w:r>
              <w:rPr>
                <w:kern w:val="0"/>
              </w:rPr>
              <w:t>常用半导体器件</w:t>
            </w:r>
          </w:p>
        </w:tc>
        <w:tc>
          <w:tcPr>
            <w:tcW w:w="426" w:type="pct"/>
            <w:vAlign w:val="center"/>
          </w:tcPr>
          <w:p w14:paraId="468FF069">
            <w:pPr>
              <w:pStyle w:val="25"/>
              <w:ind w:firstLine="0" w:firstLineChars="0"/>
              <w:jc w:val="center"/>
              <w:rPr>
                <w:kern w:val="0"/>
              </w:rPr>
            </w:pPr>
            <w:r>
              <w:t>4</w:t>
            </w:r>
          </w:p>
        </w:tc>
        <w:tc>
          <w:tcPr>
            <w:tcW w:w="426" w:type="pct"/>
            <w:vMerge w:val="continue"/>
            <w:vAlign w:val="center"/>
          </w:tcPr>
          <w:p w14:paraId="1B06D32C">
            <w:pPr>
              <w:pStyle w:val="25"/>
              <w:ind w:firstLine="0" w:firstLineChars="0"/>
              <w:jc w:val="center"/>
              <w:rPr>
                <w:kern w:val="0"/>
              </w:rPr>
            </w:pPr>
          </w:p>
        </w:tc>
      </w:tr>
      <w:tr w14:paraId="74297B74">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46" w:type="pct"/>
            <w:vMerge w:val="continue"/>
            <w:tcMar>
              <w:left w:w="28" w:type="dxa"/>
              <w:right w:w="28" w:type="dxa"/>
            </w:tcMar>
            <w:vAlign w:val="center"/>
          </w:tcPr>
          <w:p w14:paraId="6B271D48">
            <w:pPr>
              <w:pStyle w:val="25"/>
              <w:ind w:firstLine="198"/>
              <w:rPr>
                <w:spacing w:val="-6"/>
              </w:rPr>
            </w:pPr>
          </w:p>
        </w:tc>
        <w:tc>
          <w:tcPr>
            <w:tcW w:w="3103" w:type="pct"/>
            <w:gridSpan w:val="2"/>
            <w:vAlign w:val="center"/>
          </w:tcPr>
          <w:p w14:paraId="569B463F">
            <w:pPr>
              <w:pStyle w:val="25"/>
              <w:ind w:firstLine="210"/>
              <w:rPr>
                <w:kern w:val="0"/>
              </w:rPr>
            </w:pPr>
            <w:r>
              <w:rPr>
                <w:kern w:val="0"/>
              </w:rPr>
              <w:t>整流及滤波电路</w:t>
            </w:r>
          </w:p>
        </w:tc>
        <w:tc>
          <w:tcPr>
            <w:tcW w:w="426" w:type="pct"/>
            <w:vAlign w:val="center"/>
          </w:tcPr>
          <w:p w14:paraId="1DE2CFA8">
            <w:pPr>
              <w:pStyle w:val="25"/>
              <w:ind w:firstLine="0" w:firstLineChars="0"/>
              <w:jc w:val="center"/>
              <w:rPr>
                <w:kern w:val="0"/>
              </w:rPr>
            </w:pPr>
            <w:r>
              <w:t>4</w:t>
            </w:r>
          </w:p>
        </w:tc>
        <w:tc>
          <w:tcPr>
            <w:tcW w:w="426" w:type="pct"/>
            <w:vMerge w:val="continue"/>
            <w:vAlign w:val="center"/>
          </w:tcPr>
          <w:p w14:paraId="214521AC">
            <w:pPr>
              <w:pStyle w:val="25"/>
              <w:ind w:firstLine="0" w:firstLineChars="0"/>
              <w:jc w:val="center"/>
              <w:rPr>
                <w:kern w:val="0"/>
              </w:rPr>
            </w:pPr>
          </w:p>
        </w:tc>
      </w:tr>
      <w:tr w14:paraId="667EDFBD">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46" w:type="pct"/>
            <w:vMerge w:val="continue"/>
            <w:tcMar>
              <w:left w:w="28" w:type="dxa"/>
              <w:right w:w="28" w:type="dxa"/>
            </w:tcMar>
            <w:vAlign w:val="center"/>
          </w:tcPr>
          <w:p w14:paraId="0F416377">
            <w:pPr>
              <w:pStyle w:val="25"/>
              <w:ind w:firstLine="198"/>
              <w:rPr>
                <w:spacing w:val="-6"/>
              </w:rPr>
            </w:pPr>
          </w:p>
        </w:tc>
        <w:tc>
          <w:tcPr>
            <w:tcW w:w="3103" w:type="pct"/>
            <w:gridSpan w:val="2"/>
            <w:vAlign w:val="center"/>
          </w:tcPr>
          <w:p w14:paraId="5A918AA5">
            <w:pPr>
              <w:pStyle w:val="25"/>
              <w:ind w:firstLine="210"/>
              <w:rPr>
                <w:kern w:val="0"/>
              </w:rPr>
            </w:pPr>
            <w:r>
              <w:rPr>
                <w:kern w:val="0"/>
              </w:rPr>
              <w:t>放大电路与集成运算放大器</w:t>
            </w:r>
          </w:p>
        </w:tc>
        <w:tc>
          <w:tcPr>
            <w:tcW w:w="426" w:type="pct"/>
            <w:vAlign w:val="center"/>
          </w:tcPr>
          <w:p w14:paraId="1C80C18C">
            <w:pPr>
              <w:pStyle w:val="25"/>
              <w:ind w:firstLine="0" w:firstLineChars="0"/>
              <w:jc w:val="center"/>
              <w:rPr>
                <w:kern w:val="0"/>
              </w:rPr>
            </w:pPr>
            <w:r>
              <w:t>4</w:t>
            </w:r>
          </w:p>
        </w:tc>
        <w:tc>
          <w:tcPr>
            <w:tcW w:w="426" w:type="pct"/>
            <w:vMerge w:val="continue"/>
            <w:vAlign w:val="center"/>
          </w:tcPr>
          <w:p w14:paraId="128DD707">
            <w:pPr>
              <w:pStyle w:val="25"/>
              <w:ind w:firstLine="0" w:firstLineChars="0"/>
              <w:jc w:val="center"/>
              <w:rPr>
                <w:kern w:val="0"/>
              </w:rPr>
            </w:pPr>
          </w:p>
        </w:tc>
      </w:tr>
      <w:tr w14:paraId="4FDEDC78">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46" w:type="pct"/>
            <w:vMerge w:val="restart"/>
            <w:tcMar>
              <w:left w:w="28" w:type="dxa"/>
              <w:right w:w="28" w:type="dxa"/>
            </w:tcMar>
            <w:vAlign w:val="center"/>
          </w:tcPr>
          <w:p w14:paraId="1C3043EA">
            <w:pPr>
              <w:pStyle w:val="25"/>
              <w:ind w:firstLine="198"/>
              <w:rPr>
                <w:spacing w:val="-6"/>
              </w:rPr>
            </w:pPr>
            <w:r>
              <w:rPr>
                <w:rFonts w:hint="eastAsia"/>
                <w:spacing w:val="-6"/>
                <w:kern w:val="0"/>
              </w:rPr>
              <w:t>数字电子技术</w:t>
            </w:r>
          </w:p>
        </w:tc>
        <w:tc>
          <w:tcPr>
            <w:tcW w:w="3103" w:type="pct"/>
            <w:gridSpan w:val="2"/>
            <w:vAlign w:val="center"/>
          </w:tcPr>
          <w:p w14:paraId="02AA277A">
            <w:pPr>
              <w:pStyle w:val="25"/>
              <w:ind w:firstLine="210"/>
              <w:rPr>
                <w:kern w:val="0"/>
              </w:rPr>
            </w:pPr>
            <w:r>
              <w:rPr>
                <w:kern w:val="0"/>
              </w:rPr>
              <w:t>数字电子技术基础</w:t>
            </w:r>
          </w:p>
        </w:tc>
        <w:tc>
          <w:tcPr>
            <w:tcW w:w="426" w:type="pct"/>
            <w:vAlign w:val="center"/>
          </w:tcPr>
          <w:p w14:paraId="54B92107">
            <w:pPr>
              <w:pStyle w:val="25"/>
              <w:ind w:firstLine="0" w:firstLineChars="0"/>
              <w:jc w:val="center"/>
              <w:rPr>
                <w:kern w:val="0"/>
              </w:rPr>
            </w:pPr>
            <w:r>
              <w:t>2</w:t>
            </w:r>
          </w:p>
        </w:tc>
        <w:tc>
          <w:tcPr>
            <w:tcW w:w="426" w:type="pct"/>
            <w:vMerge w:val="continue"/>
            <w:vAlign w:val="center"/>
          </w:tcPr>
          <w:p w14:paraId="5D34DBBD">
            <w:pPr>
              <w:pStyle w:val="25"/>
              <w:ind w:firstLine="0" w:firstLineChars="0"/>
              <w:jc w:val="center"/>
              <w:rPr>
                <w:kern w:val="0"/>
              </w:rPr>
            </w:pPr>
          </w:p>
        </w:tc>
      </w:tr>
      <w:tr w14:paraId="66159BB4">
        <w:tblPrEx>
          <w:tblBorders>
            <w:top w:val="single" w:color="auto" w:sz="8" w:space="0"/>
            <w:left w:val="single" w:color="auto" w:sz="8" w:space="0"/>
            <w:bottom w:val="single" w:color="auto" w:sz="4" w:space="0"/>
            <w:right w:val="single" w:color="auto" w:sz="8" w:space="0"/>
            <w:insideH w:val="single" w:color="auto" w:sz="4" w:space="0"/>
            <w:insideV w:val="single" w:color="auto" w:sz="4" w:space="0"/>
          </w:tblBorders>
          <w:tblCellMar>
            <w:top w:w="0" w:type="dxa"/>
            <w:left w:w="108" w:type="dxa"/>
            <w:bottom w:w="0" w:type="dxa"/>
            <w:right w:w="108" w:type="dxa"/>
          </w:tblCellMar>
        </w:tblPrEx>
        <w:trPr>
          <w:jc w:val="center"/>
        </w:trPr>
        <w:tc>
          <w:tcPr>
            <w:tcW w:w="1046" w:type="pct"/>
            <w:vMerge w:val="continue"/>
            <w:tcMar>
              <w:left w:w="28" w:type="dxa"/>
              <w:right w:w="28" w:type="dxa"/>
            </w:tcMar>
            <w:vAlign w:val="center"/>
          </w:tcPr>
          <w:p w14:paraId="69A94443">
            <w:pPr>
              <w:pStyle w:val="25"/>
              <w:ind w:firstLine="210"/>
            </w:pPr>
          </w:p>
        </w:tc>
        <w:tc>
          <w:tcPr>
            <w:tcW w:w="3103" w:type="pct"/>
            <w:gridSpan w:val="2"/>
            <w:vAlign w:val="center"/>
          </w:tcPr>
          <w:p w14:paraId="1DACBE52">
            <w:pPr>
              <w:pStyle w:val="25"/>
              <w:ind w:firstLine="210"/>
              <w:rPr>
                <w:kern w:val="0"/>
              </w:rPr>
            </w:pPr>
            <w:r>
              <w:rPr>
                <w:kern w:val="0"/>
              </w:rPr>
              <w:t>组合逻辑</w:t>
            </w:r>
            <w:r>
              <w:rPr>
                <w:rFonts w:hint="eastAsia"/>
                <w:kern w:val="0"/>
              </w:rPr>
              <w:t>电路</w:t>
            </w:r>
            <w:r>
              <w:rPr>
                <w:kern w:val="0"/>
              </w:rPr>
              <w:t>和时序逻辑电路</w:t>
            </w:r>
          </w:p>
        </w:tc>
        <w:tc>
          <w:tcPr>
            <w:tcW w:w="426" w:type="pct"/>
            <w:vAlign w:val="center"/>
          </w:tcPr>
          <w:p w14:paraId="070E0C8F">
            <w:pPr>
              <w:pStyle w:val="25"/>
              <w:ind w:firstLine="0" w:firstLineChars="0"/>
              <w:jc w:val="center"/>
              <w:rPr>
                <w:kern w:val="0"/>
              </w:rPr>
            </w:pPr>
            <w:r>
              <w:rPr>
                <w:kern w:val="0"/>
              </w:rPr>
              <w:t>7</w:t>
            </w:r>
          </w:p>
        </w:tc>
        <w:tc>
          <w:tcPr>
            <w:tcW w:w="426" w:type="pct"/>
            <w:vMerge w:val="continue"/>
            <w:vAlign w:val="center"/>
          </w:tcPr>
          <w:p w14:paraId="41048957">
            <w:pPr>
              <w:pStyle w:val="25"/>
              <w:ind w:firstLine="0" w:firstLineChars="0"/>
              <w:jc w:val="center"/>
              <w:rPr>
                <w:kern w:val="0"/>
              </w:rPr>
            </w:pPr>
          </w:p>
        </w:tc>
      </w:tr>
    </w:tbl>
    <w:p w14:paraId="4A32D81C"/>
    <w:sectPr>
      <w:pgSz w:w="11906" w:h="16838"/>
      <w:pgMar w:top="1440" w:right="1800" w:bottom="1440" w:left="1800"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方正书宋简体">
    <w:altName w:val="宋体"/>
    <w:panose1 w:val="00000000000000000000"/>
    <w:charset w:val="86"/>
    <w:family w:val="script"/>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56F9559">
    <w:pPr>
      <w:pStyle w:val="6"/>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240001"/>
      <w:docPartObj>
        <w:docPartGallery w:val="AutoText"/>
      </w:docPartObj>
    </w:sdtPr>
    <w:sdtContent>
      <w:p w14:paraId="4AE7F35B">
        <w:pPr>
          <w:pStyle w:val="6"/>
          <w:jc w:val="center"/>
        </w:pPr>
        <w:r>
          <w:fldChar w:fldCharType="begin"/>
        </w:r>
        <w:r>
          <w:instrText xml:space="preserve">PAGE   \* MERGEFORMAT</w:instrText>
        </w:r>
        <w:r>
          <w:fldChar w:fldCharType="separate"/>
        </w:r>
        <w:r>
          <w:rPr>
            <w:lang w:val="zh-CN"/>
          </w:rPr>
          <w:t>2</w:t>
        </w:r>
        <w:r>
          <w:fldChar w:fldCharType="end"/>
        </w:r>
      </w:p>
    </w:sdtContent>
  </w:sdt>
  <w:p w14:paraId="6C33AC35">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136536529"/>
      <w:docPartObj>
        <w:docPartGallery w:val="AutoText"/>
      </w:docPartObj>
    </w:sdtPr>
    <w:sdtContent>
      <w:p w14:paraId="238DBA32">
        <w:pPr>
          <w:pStyle w:val="6"/>
          <w:jc w:val="center"/>
        </w:pPr>
        <w:r>
          <w:fldChar w:fldCharType="begin"/>
        </w:r>
        <w:r>
          <w:instrText xml:space="preserve">PAGE   \* MERGEFORMAT</w:instrText>
        </w:r>
        <w:r>
          <w:fldChar w:fldCharType="separate"/>
        </w:r>
        <w:r>
          <w:rPr>
            <w:lang w:val="zh-CN"/>
          </w:rPr>
          <w:t>18</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01691230"/>
      <w:docPartObj>
        <w:docPartGallery w:val="AutoText"/>
      </w:docPartObj>
    </w:sdtPr>
    <w:sdtContent>
      <w:p w14:paraId="3D9F7B1D">
        <w:pPr>
          <w:pStyle w:val="6"/>
          <w:jc w:val="center"/>
        </w:pPr>
        <w:r>
          <w:rPr>
            <w:lang w:val="zh-CN"/>
          </w:rPr>
          <w:fldChar w:fldCharType="begin"/>
        </w:r>
        <w:r>
          <w:rPr>
            <w:lang w:val="zh-CN"/>
          </w:rPr>
          <w:instrText xml:space="preserve">PAGE   \* MERGEFORMAT</w:instrText>
        </w:r>
        <w:r>
          <w:rPr>
            <w:lang w:val="zh-CN"/>
          </w:rPr>
          <w:fldChar w:fldCharType="separate"/>
        </w:r>
        <w:r>
          <w:rPr>
            <w:lang w:val="zh-CN"/>
          </w:rPr>
          <w:t>19</w:t>
        </w:r>
        <w:r>
          <w:rPr>
            <w:lang w:val="zh-CN"/>
          </w:rPr>
          <w:fldChar w:fldCharType="end"/>
        </w:r>
      </w:p>
    </w:sdtContent>
  </w:sdt>
  <w:p w14:paraId="00415472">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446159"/>
    <w:multiLevelType w:val="singleLevel"/>
    <w:tmpl w:val="C6446159"/>
    <w:lvl w:ilvl="0" w:tentative="0">
      <w:start w:val="1"/>
      <w:numFmt w:val="chineseCounting"/>
      <w:suff w:val="nothing"/>
      <w:lvlText w:val="（%1）"/>
      <w:lvlJc w:val="left"/>
      <w:pPr>
        <w:ind w:left="-278" w:firstLine="420"/>
      </w:pPr>
      <w:rPr>
        <w:rFonts w:hint="eastAsia"/>
      </w:rPr>
    </w:lvl>
  </w:abstractNum>
  <w:abstractNum w:abstractNumId="1">
    <w:nsid w:val="030B6C04"/>
    <w:multiLevelType w:val="multilevel"/>
    <w:tmpl w:val="030B6C04"/>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1D679981"/>
    <w:multiLevelType w:val="singleLevel"/>
    <w:tmpl w:val="1D679981"/>
    <w:lvl w:ilvl="0" w:tentative="0">
      <w:start w:val="1"/>
      <w:numFmt w:val="decimal"/>
      <w:suff w:val="nothing"/>
      <w:lvlText w:val="%1．"/>
      <w:lvlJc w:val="left"/>
      <w:pPr>
        <w:ind w:left="0" w:firstLine="400"/>
      </w:pPr>
      <w:rPr>
        <w:rFonts w:hint="default"/>
      </w:rPr>
    </w:lvl>
  </w:abstractNum>
  <w:abstractNum w:abstractNumId="3">
    <w:nsid w:val="251F15DD"/>
    <w:multiLevelType w:val="singleLevel"/>
    <w:tmpl w:val="251F15DD"/>
    <w:lvl w:ilvl="0" w:tentative="0">
      <w:start w:val="1"/>
      <w:numFmt w:val="chineseCounting"/>
      <w:suff w:val="nothing"/>
      <w:lvlText w:val="（%1）"/>
      <w:lvlJc w:val="left"/>
      <w:pPr>
        <w:ind w:left="0" w:firstLine="420"/>
      </w:pPr>
      <w:rPr>
        <w:rFonts w:hint="eastAsia"/>
      </w:rPr>
    </w:lvl>
  </w:abstractNum>
  <w:abstractNum w:abstractNumId="4">
    <w:nsid w:val="4553449A"/>
    <w:multiLevelType w:val="multilevel"/>
    <w:tmpl w:val="4553449A"/>
    <w:lvl w:ilvl="0" w:tentative="0">
      <w:start w:val="1"/>
      <w:numFmt w:val="decimal"/>
      <w:pStyle w:val="19"/>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493811AD"/>
    <w:multiLevelType w:val="singleLevel"/>
    <w:tmpl w:val="493811AD"/>
    <w:lvl w:ilvl="0" w:tentative="0">
      <w:start w:val="1"/>
      <w:numFmt w:val="chineseCounting"/>
      <w:suff w:val="nothing"/>
      <w:lvlText w:val="%1、"/>
      <w:lvlJc w:val="left"/>
      <w:pPr>
        <w:ind w:left="289" w:firstLine="420"/>
      </w:pPr>
      <w:rPr>
        <w:rFonts w:hint="eastAsia"/>
      </w:rPr>
    </w:lvl>
  </w:abstractNum>
  <w:abstractNum w:abstractNumId="6">
    <w:nsid w:val="4A2D5BE9"/>
    <w:multiLevelType w:val="multilevel"/>
    <w:tmpl w:val="4A2D5BE9"/>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B4FBDEC"/>
    <w:multiLevelType w:val="singleLevel"/>
    <w:tmpl w:val="6B4FBDEC"/>
    <w:lvl w:ilvl="0" w:tentative="0">
      <w:start w:val="1"/>
      <w:numFmt w:val="chineseCounting"/>
      <w:suff w:val="nothing"/>
      <w:lvlText w:val="（%1）"/>
      <w:lvlJc w:val="left"/>
      <w:pPr>
        <w:ind w:left="0" w:firstLine="420"/>
      </w:pPr>
      <w:rPr>
        <w:rFonts w:hint="eastAsia"/>
      </w:rPr>
    </w:lvl>
  </w:abstractNum>
  <w:num w:numId="1">
    <w:abstractNumId w:val="4"/>
  </w:num>
  <w:num w:numId="2">
    <w:abstractNumId w:val="5"/>
  </w:num>
  <w:num w:numId="3">
    <w:abstractNumId w:val="7"/>
  </w:num>
  <w:num w:numId="4">
    <w:abstractNumId w:val="6"/>
  </w:num>
  <w:num w:numId="5">
    <w:abstractNumId w:val="1"/>
  </w:num>
  <w:num w:numId="6">
    <w:abstractNumId w:val="0"/>
  </w:num>
  <w:num w:numId="7">
    <w:abstractNumId w:val="3"/>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YzYTRmMDMzODkxY2EwZWE1ZmYwZTcxNDgzY2NlY2EifQ=="/>
  </w:docVars>
  <w:rsids>
    <w:rsidRoot w:val="00F93C2D"/>
    <w:rsid w:val="00005459"/>
    <w:rsid w:val="00015A70"/>
    <w:rsid w:val="000172C3"/>
    <w:rsid w:val="000207E2"/>
    <w:rsid w:val="000349F8"/>
    <w:rsid w:val="00034C29"/>
    <w:rsid w:val="00037DCC"/>
    <w:rsid w:val="000407BB"/>
    <w:rsid w:val="000609BD"/>
    <w:rsid w:val="0006364D"/>
    <w:rsid w:val="00085923"/>
    <w:rsid w:val="00087B6C"/>
    <w:rsid w:val="000A135B"/>
    <w:rsid w:val="000A7B8A"/>
    <w:rsid w:val="000B1628"/>
    <w:rsid w:val="000B5F39"/>
    <w:rsid w:val="000C4F78"/>
    <w:rsid w:val="000C7A79"/>
    <w:rsid w:val="000D59B6"/>
    <w:rsid w:val="000E3D0B"/>
    <w:rsid w:val="000E4DCD"/>
    <w:rsid w:val="000E5721"/>
    <w:rsid w:val="0010109B"/>
    <w:rsid w:val="00104EBC"/>
    <w:rsid w:val="00127E35"/>
    <w:rsid w:val="00133BAB"/>
    <w:rsid w:val="0013482D"/>
    <w:rsid w:val="00135131"/>
    <w:rsid w:val="0013575A"/>
    <w:rsid w:val="00135C14"/>
    <w:rsid w:val="00146FE4"/>
    <w:rsid w:val="0015277B"/>
    <w:rsid w:val="00171B93"/>
    <w:rsid w:val="001722C7"/>
    <w:rsid w:val="00175B0C"/>
    <w:rsid w:val="00177A13"/>
    <w:rsid w:val="00184304"/>
    <w:rsid w:val="00186AA1"/>
    <w:rsid w:val="00191310"/>
    <w:rsid w:val="0019133B"/>
    <w:rsid w:val="001B303A"/>
    <w:rsid w:val="001B7548"/>
    <w:rsid w:val="001C13B7"/>
    <w:rsid w:val="001C1C85"/>
    <w:rsid w:val="001C5B37"/>
    <w:rsid w:val="001D225D"/>
    <w:rsid w:val="001D4919"/>
    <w:rsid w:val="001F0E57"/>
    <w:rsid w:val="001F4441"/>
    <w:rsid w:val="002045AB"/>
    <w:rsid w:val="0021057B"/>
    <w:rsid w:val="00212A9E"/>
    <w:rsid w:val="002211E2"/>
    <w:rsid w:val="00223F75"/>
    <w:rsid w:val="002276F1"/>
    <w:rsid w:val="00256003"/>
    <w:rsid w:val="00256646"/>
    <w:rsid w:val="0026485D"/>
    <w:rsid w:val="002808FE"/>
    <w:rsid w:val="00283325"/>
    <w:rsid w:val="0028436A"/>
    <w:rsid w:val="00284D2E"/>
    <w:rsid w:val="00285E46"/>
    <w:rsid w:val="0029102D"/>
    <w:rsid w:val="002A4195"/>
    <w:rsid w:val="002B7C6D"/>
    <w:rsid w:val="002C07AB"/>
    <w:rsid w:val="002D60D0"/>
    <w:rsid w:val="002E7F8B"/>
    <w:rsid w:val="002F7D6A"/>
    <w:rsid w:val="002F7F2B"/>
    <w:rsid w:val="00302517"/>
    <w:rsid w:val="00314AE4"/>
    <w:rsid w:val="00315FD4"/>
    <w:rsid w:val="003165E4"/>
    <w:rsid w:val="00326E6C"/>
    <w:rsid w:val="00327BA2"/>
    <w:rsid w:val="003324D8"/>
    <w:rsid w:val="00342932"/>
    <w:rsid w:val="00343213"/>
    <w:rsid w:val="003468F1"/>
    <w:rsid w:val="00347B9F"/>
    <w:rsid w:val="0035156D"/>
    <w:rsid w:val="00363A4C"/>
    <w:rsid w:val="00365116"/>
    <w:rsid w:val="00365789"/>
    <w:rsid w:val="00376106"/>
    <w:rsid w:val="00376C20"/>
    <w:rsid w:val="003770E0"/>
    <w:rsid w:val="003773C8"/>
    <w:rsid w:val="00382D45"/>
    <w:rsid w:val="0038533C"/>
    <w:rsid w:val="00392D59"/>
    <w:rsid w:val="00393B19"/>
    <w:rsid w:val="00394D19"/>
    <w:rsid w:val="0039525E"/>
    <w:rsid w:val="003A20A2"/>
    <w:rsid w:val="003A368F"/>
    <w:rsid w:val="003A4AC4"/>
    <w:rsid w:val="003A57ED"/>
    <w:rsid w:val="003B789D"/>
    <w:rsid w:val="003C18C3"/>
    <w:rsid w:val="003C2E16"/>
    <w:rsid w:val="003E10F4"/>
    <w:rsid w:val="004220AF"/>
    <w:rsid w:val="00440862"/>
    <w:rsid w:val="00446E51"/>
    <w:rsid w:val="00452AA2"/>
    <w:rsid w:val="00460878"/>
    <w:rsid w:val="00461B4D"/>
    <w:rsid w:val="00461C39"/>
    <w:rsid w:val="004704ED"/>
    <w:rsid w:val="00486534"/>
    <w:rsid w:val="00490C5E"/>
    <w:rsid w:val="00493D04"/>
    <w:rsid w:val="0049762B"/>
    <w:rsid w:val="004A39DF"/>
    <w:rsid w:val="004A6902"/>
    <w:rsid w:val="004B2D9C"/>
    <w:rsid w:val="004C5D63"/>
    <w:rsid w:val="004C7466"/>
    <w:rsid w:val="004D1E96"/>
    <w:rsid w:val="004D20A6"/>
    <w:rsid w:val="004D280C"/>
    <w:rsid w:val="004E0522"/>
    <w:rsid w:val="004F497B"/>
    <w:rsid w:val="004F673B"/>
    <w:rsid w:val="00501F3D"/>
    <w:rsid w:val="00507912"/>
    <w:rsid w:val="00511C96"/>
    <w:rsid w:val="00522AA3"/>
    <w:rsid w:val="005355EF"/>
    <w:rsid w:val="005369C7"/>
    <w:rsid w:val="00537FDA"/>
    <w:rsid w:val="00552B71"/>
    <w:rsid w:val="00554298"/>
    <w:rsid w:val="005573F7"/>
    <w:rsid w:val="00557510"/>
    <w:rsid w:val="00562884"/>
    <w:rsid w:val="00563A8A"/>
    <w:rsid w:val="00566279"/>
    <w:rsid w:val="00567CCA"/>
    <w:rsid w:val="00585FFA"/>
    <w:rsid w:val="0059012C"/>
    <w:rsid w:val="00595C07"/>
    <w:rsid w:val="005A4001"/>
    <w:rsid w:val="005B0053"/>
    <w:rsid w:val="005B544C"/>
    <w:rsid w:val="005B67CF"/>
    <w:rsid w:val="005C0556"/>
    <w:rsid w:val="005C0D02"/>
    <w:rsid w:val="005C0F71"/>
    <w:rsid w:val="005C4D9D"/>
    <w:rsid w:val="005C5083"/>
    <w:rsid w:val="005D29BD"/>
    <w:rsid w:val="005D787C"/>
    <w:rsid w:val="005E4161"/>
    <w:rsid w:val="005E69BD"/>
    <w:rsid w:val="005F3CEE"/>
    <w:rsid w:val="005F3F7C"/>
    <w:rsid w:val="005F5312"/>
    <w:rsid w:val="006038D9"/>
    <w:rsid w:val="006061B6"/>
    <w:rsid w:val="0060797C"/>
    <w:rsid w:val="006147A3"/>
    <w:rsid w:val="00624CD2"/>
    <w:rsid w:val="00630220"/>
    <w:rsid w:val="00632430"/>
    <w:rsid w:val="00635025"/>
    <w:rsid w:val="006354D2"/>
    <w:rsid w:val="006438C1"/>
    <w:rsid w:val="00643AE4"/>
    <w:rsid w:val="00651E34"/>
    <w:rsid w:val="00666E7D"/>
    <w:rsid w:val="00677E39"/>
    <w:rsid w:val="00692DFB"/>
    <w:rsid w:val="0069626E"/>
    <w:rsid w:val="00696BA4"/>
    <w:rsid w:val="006A025E"/>
    <w:rsid w:val="006A1F9D"/>
    <w:rsid w:val="006A7B65"/>
    <w:rsid w:val="006B2661"/>
    <w:rsid w:val="006C5E51"/>
    <w:rsid w:val="006D0994"/>
    <w:rsid w:val="006D13D2"/>
    <w:rsid w:val="006D320A"/>
    <w:rsid w:val="006D7F55"/>
    <w:rsid w:val="006E062A"/>
    <w:rsid w:val="006E3B6D"/>
    <w:rsid w:val="006F12CF"/>
    <w:rsid w:val="006F68E9"/>
    <w:rsid w:val="00701048"/>
    <w:rsid w:val="007036DD"/>
    <w:rsid w:val="00705323"/>
    <w:rsid w:val="00730826"/>
    <w:rsid w:val="00732E35"/>
    <w:rsid w:val="007340FA"/>
    <w:rsid w:val="00734E72"/>
    <w:rsid w:val="007352AD"/>
    <w:rsid w:val="00735BE5"/>
    <w:rsid w:val="007365B5"/>
    <w:rsid w:val="007368C0"/>
    <w:rsid w:val="007427F9"/>
    <w:rsid w:val="007461D4"/>
    <w:rsid w:val="00747F7B"/>
    <w:rsid w:val="00752DBB"/>
    <w:rsid w:val="007546B9"/>
    <w:rsid w:val="00757CCA"/>
    <w:rsid w:val="00762C70"/>
    <w:rsid w:val="007739B8"/>
    <w:rsid w:val="00773C21"/>
    <w:rsid w:val="007846DB"/>
    <w:rsid w:val="00794541"/>
    <w:rsid w:val="007A4501"/>
    <w:rsid w:val="007B1709"/>
    <w:rsid w:val="007B209C"/>
    <w:rsid w:val="007B2594"/>
    <w:rsid w:val="007C16FD"/>
    <w:rsid w:val="007C751D"/>
    <w:rsid w:val="007D1966"/>
    <w:rsid w:val="007D649A"/>
    <w:rsid w:val="007E0E17"/>
    <w:rsid w:val="007E524B"/>
    <w:rsid w:val="007E7578"/>
    <w:rsid w:val="007F0A60"/>
    <w:rsid w:val="007F76C1"/>
    <w:rsid w:val="008021C0"/>
    <w:rsid w:val="008043F8"/>
    <w:rsid w:val="00812FFC"/>
    <w:rsid w:val="00826D52"/>
    <w:rsid w:val="00826E28"/>
    <w:rsid w:val="00827E8D"/>
    <w:rsid w:val="008402F3"/>
    <w:rsid w:val="00845441"/>
    <w:rsid w:val="00853F2D"/>
    <w:rsid w:val="00854C09"/>
    <w:rsid w:val="008839BB"/>
    <w:rsid w:val="0088764B"/>
    <w:rsid w:val="008B3F5A"/>
    <w:rsid w:val="008B4F04"/>
    <w:rsid w:val="008B5895"/>
    <w:rsid w:val="008C40AB"/>
    <w:rsid w:val="008D1A4B"/>
    <w:rsid w:val="008D2107"/>
    <w:rsid w:val="008D43D7"/>
    <w:rsid w:val="008D5CD5"/>
    <w:rsid w:val="008E1DE1"/>
    <w:rsid w:val="008E7B35"/>
    <w:rsid w:val="008F01F0"/>
    <w:rsid w:val="008F3661"/>
    <w:rsid w:val="008F4689"/>
    <w:rsid w:val="008F47BC"/>
    <w:rsid w:val="008F48E3"/>
    <w:rsid w:val="00901D25"/>
    <w:rsid w:val="00904113"/>
    <w:rsid w:val="00913A36"/>
    <w:rsid w:val="009205A4"/>
    <w:rsid w:val="00920D0E"/>
    <w:rsid w:val="0093176D"/>
    <w:rsid w:val="00947C65"/>
    <w:rsid w:val="009508E5"/>
    <w:rsid w:val="00952538"/>
    <w:rsid w:val="009548E4"/>
    <w:rsid w:val="00960CF4"/>
    <w:rsid w:val="009627A6"/>
    <w:rsid w:val="0096429E"/>
    <w:rsid w:val="009733A7"/>
    <w:rsid w:val="009761C3"/>
    <w:rsid w:val="009774D5"/>
    <w:rsid w:val="00982D1A"/>
    <w:rsid w:val="009A6E21"/>
    <w:rsid w:val="009B13C8"/>
    <w:rsid w:val="009B64A9"/>
    <w:rsid w:val="009B7ED2"/>
    <w:rsid w:val="009C5B27"/>
    <w:rsid w:val="009C5BEF"/>
    <w:rsid w:val="009D0678"/>
    <w:rsid w:val="009D2F39"/>
    <w:rsid w:val="009D60AA"/>
    <w:rsid w:val="009E79E1"/>
    <w:rsid w:val="00A02C6C"/>
    <w:rsid w:val="00A03703"/>
    <w:rsid w:val="00A16F9E"/>
    <w:rsid w:val="00A175B9"/>
    <w:rsid w:val="00A22559"/>
    <w:rsid w:val="00A22808"/>
    <w:rsid w:val="00A231F8"/>
    <w:rsid w:val="00A27EAC"/>
    <w:rsid w:val="00A35BC0"/>
    <w:rsid w:val="00A62490"/>
    <w:rsid w:val="00A66579"/>
    <w:rsid w:val="00A83A0E"/>
    <w:rsid w:val="00A83ACB"/>
    <w:rsid w:val="00A87C92"/>
    <w:rsid w:val="00AA10BB"/>
    <w:rsid w:val="00AA3AAE"/>
    <w:rsid w:val="00AA6B07"/>
    <w:rsid w:val="00AC63A4"/>
    <w:rsid w:val="00AC7069"/>
    <w:rsid w:val="00AC7736"/>
    <w:rsid w:val="00AC7F6E"/>
    <w:rsid w:val="00AD0CD8"/>
    <w:rsid w:val="00AE108F"/>
    <w:rsid w:val="00AE28B8"/>
    <w:rsid w:val="00AE4C38"/>
    <w:rsid w:val="00AF16BE"/>
    <w:rsid w:val="00AF2AA3"/>
    <w:rsid w:val="00AF3FB5"/>
    <w:rsid w:val="00AF54BE"/>
    <w:rsid w:val="00B0004B"/>
    <w:rsid w:val="00B02684"/>
    <w:rsid w:val="00B10F0D"/>
    <w:rsid w:val="00B170C1"/>
    <w:rsid w:val="00B22333"/>
    <w:rsid w:val="00B2518D"/>
    <w:rsid w:val="00B264F5"/>
    <w:rsid w:val="00B26E82"/>
    <w:rsid w:val="00B27A33"/>
    <w:rsid w:val="00B32337"/>
    <w:rsid w:val="00B33372"/>
    <w:rsid w:val="00B34358"/>
    <w:rsid w:val="00B37C66"/>
    <w:rsid w:val="00B44FBB"/>
    <w:rsid w:val="00B516AE"/>
    <w:rsid w:val="00B523C3"/>
    <w:rsid w:val="00B53664"/>
    <w:rsid w:val="00B73910"/>
    <w:rsid w:val="00B77826"/>
    <w:rsid w:val="00B86083"/>
    <w:rsid w:val="00B9408C"/>
    <w:rsid w:val="00B94131"/>
    <w:rsid w:val="00BA0707"/>
    <w:rsid w:val="00BA0972"/>
    <w:rsid w:val="00BA34DF"/>
    <w:rsid w:val="00BB4F59"/>
    <w:rsid w:val="00BB7129"/>
    <w:rsid w:val="00BC1117"/>
    <w:rsid w:val="00BC5126"/>
    <w:rsid w:val="00BD0B0F"/>
    <w:rsid w:val="00BD38C6"/>
    <w:rsid w:val="00BD5024"/>
    <w:rsid w:val="00BD51F0"/>
    <w:rsid w:val="00BD542D"/>
    <w:rsid w:val="00BF2547"/>
    <w:rsid w:val="00BF4066"/>
    <w:rsid w:val="00BF5A74"/>
    <w:rsid w:val="00C116AD"/>
    <w:rsid w:val="00C20D79"/>
    <w:rsid w:val="00C47DF4"/>
    <w:rsid w:val="00C709DA"/>
    <w:rsid w:val="00C749CF"/>
    <w:rsid w:val="00C7774E"/>
    <w:rsid w:val="00C86AB3"/>
    <w:rsid w:val="00C90009"/>
    <w:rsid w:val="00C921F0"/>
    <w:rsid w:val="00C93B99"/>
    <w:rsid w:val="00C97E6C"/>
    <w:rsid w:val="00CA376F"/>
    <w:rsid w:val="00CB4FF3"/>
    <w:rsid w:val="00CD7356"/>
    <w:rsid w:val="00CE7C21"/>
    <w:rsid w:val="00CF08C4"/>
    <w:rsid w:val="00CF4D0E"/>
    <w:rsid w:val="00D03C29"/>
    <w:rsid w:val="00D11164"/>
    <w:rsid w:val="00D12743"/>
    <w:rsid w:val="00D13B9C"/>
    <w:rsid w:val="00D15759"/>
    <w:rsid w:val="00D15B31"/>
    <w:rsid w:val="00D231E6"/>
    <w:rsid w:val="00D23DF3"/>
    <w:rsid w:val="00D44160"/>
    <w:rsid w:val="00D444D8"/>
    <w:rsid w:val="00D527D8"/>
    <w:rsid w:val="00D5736A"/>
    <w:rsid w:val="00D60504"/>
    <w:rsid w:val="00D610E0"/>
    <w:rsid w:val="00D6383C"/>
    <w:rsid w:val="00D65C92"/>
    <w:rsid w:val="00D70A92"/>
    <w:rsid w:val="00D73BF6"/>
    <w:rsid w:val="00D81529"/>
    <w:rsid w:val="00D836A6"/>
    <w:rsid w:val="00D90CBC"/>
    <w:rsid w:val="00D93343"/>
    <w:rsid w:val="00DA3F88"/>
    <w:rsid w:val="00DA6C6A"/>
    <w:rsid w:val="00DB44B6"/>
    <w:rsid w:val="00DC3895"/>
    <w:rsid w:val="00DC62A9"/>
    <w:rsid w:val="00DD2004"/>
    <w:rsid w:val="00DD4756"/>
    <w:rsid w:val="00DE0168"/>
    <w:rsid w:val="00DE3BCA"/>
    <w:rsid w:val="00DE4FA1"/>
    <w:rsid w:val="00DF06DA"/>
    <w:rsid w:val="00DF1C4C"/>
    <w:rsid w:val="00DF4364"/>
    <w:rsid w:val="00E01BCF"/>
    <w:rsid w:val="00E0495E"/>
    <w:rsid w:val="00E103E8"/>
    <w:rsid w:val="00E24F74"/>
    <w:rsid w:val="00E25482"/>
    <w:rsid w:val="00E311B9"/>
    <w:rsid w:val="00E345C3"/>
    <w:rsid w:val="00E37153"/>
    <w:rsid w:val="00E40AA3"/>
    <w:rsid w:val="00E469E9"/>
    <w:rsid w:val="00E474A2"/>
    <w:rsid w:val="00E56A55"/>
    <w:rsid w:val="00E66426"/>
    <w:rsid w:val="00E67C7D"/>
    <w:rsid w:val="00E73C29"/>
    <w:rsid w:val="00E82F31"/>
    <w:rsid w:val="00E94445"/>
    <w:rsid w:val="00E97F07"/>
    <w:rsid w:val="00EA127D"/>
    <w:rsid w:val="00EA2195"/>
    <w:rsid w:val="00EB1713"/>
    <w:rsid w:val="00EB4DA7"/>
    <w:rsid w:val="00EC2C9E"/>
    <w:rsid w:val="00ED79DA"/>
    <w:rsid w:val="00EE0520"/>
    <w:rsid w:val="00EE2DB5"/>
    <w:rsid w:val="00EE474F"/>
    <w:rsid w:val="00EE63EE"/>
    <w:rsid w:val="00F04F03"/>
    <w:rsid w:val="00F1101B"/>
    <w:rsid w:val="00F125DF"/>
    <w:rsid w:val="00F13383"/>
    <w:rsid w:val="00F17776"/>
    <w:rsid w:val="00F31789"/>
    <w:rsid w:val="00F35CFD"/>
    <w:rsid w:val="00F4476E"/>
    <w:rsid w:val="00F54AD6"/>
    <w:rsid w:val="00F71475"/>
    <w:rsid w:val="00F838E1"/>
    <w:rsid w:val="00F87557"/>
    <w:rsid w:val="00F93C2D"/>
    <w:rsid w:val="00F944C7"/>
    <w:rsid w:val="00F9664C"/>
    <w:rsid w:val="00FA331E"/>
    <w:rsid w:val="00FA357E"/>
    <w:rsid w:val="00FA75F0"/>
    <w:rsid w:val="00FB6425"/>
    <w:rsid w:val="00FB7221"/>
    <w:rsid w:val="00FC3810"/>
    <w:rsid w:val="00FD0A36"/>
    <w:rsid w:val="00FD5EA3"/>
    <w:rsid w:val="00FE2AEF"/>
    <w:rsid w:val="00FE2BD0"/>
    <w:rsid w:val="00FE2F87"/>
    <w:rsid w:val="00FE7E57"/>
    <w:rsid w:val="00FF48AA"/>
    <w:rsid w:val="0413388C"/>
    <w:rsid w:val="05C00F84"/>
    <w:rsid w:val="0FDF5034"/>
    <w:rsid w:val="119D5F7C"/>
    <w:rsid w:val="14D05A02"/>
    <w:rsid w:val="1784038C"/>
    <w:rsid w:val="1E472722"/>
    <w:rsid w:val="229A0A44"/>
    <w:rsid w:val="23C50DBF"/>
    <w:rsid w:val="27B65B95"/>
    <w:rsid w:val="27CB4C9C"/>
    <w:rsid w:val="324C7EAF"/>
    <w:rsid w:val="33535ACF"/>
    <w:rsid w:val="34C13400"/>
    <w:rsid w:val="3C3025F0"/>
    <w:rsid w:val="42116A20"/>
    <w:rsid w:val="497E053E"/>
    <w:rsid w:val="4B1B26BD"/>
    <w:rsid w:val="50357D7D"/>
    <w:rsid w:val="537457AE"/>
    <w:rsid w:val="55FC4729"/>
    <w:rsid w:val="57F8000E"/>
    <w:rsid w:val="5B1555F3"/>
    <w:rsid w:val="619E38D7"/>
    <w:rsid w:val="62BD348D"/>
    <w:rsid w:val="69C75A92"/>
    <w:rsid w:val="6D5C4743"/>
    <w:rsid w:val="721970A7"/>
    <w:rsid w:val="726245AA"/>
    <w:rsid w:val="728E539F"/>
    <w:rsid w:val="76C20F18"/>
    <w:rsid w:val="777C5D2E"/>
    <w:rsid w:val="78E072E8"/>
    <w:rsid w:val="7C306A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39" w:semiHidden="0" w:name="toc 1"/>
    <w:lsdException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99"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13">
    <w:name w:val="Default Paragraph Font"/>
    <w:semiHidden/>
    <w:unhideWhenUsed/>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3">
    <w:name w:val="caption"/>
    <w:basedOn w:val="1"/>
    <w:next w:val="1"/>
    <w:semiHidden/>
    <w:unhideWhenUsed/>
    <w:qFormat/>
    <w:uiPriority w:val="0"/>
    <w:rPr>
      <w:rFonts w:ascii="Arial" w:hAnsi="Arial" w:eastAsia="黑体"/>
      <w:sz w:val="20"/>
    </w:rPr>
  </w:style>
  <w:style w:type="paragraph" w:styleId="4">
    <w:name w:val="annotation text"/>
    <w:basedOn w:val="1"/>
    <w:autoRedefine/>
    <w:qFormat/>
    <w:uiPriority w:val="0"/>
    <w:pPr>
      <w:jc w:val="left"/>
    </w:pPr>
  </w:style>
  <w:style w:type="paragraph" w:styleId="5">
    <w:name w:val="Balloon Text"/>
    <w:basedOn w:val="1"/>
    <w:link w:val="24"/>
    <w:uiPriority w:val="0"/>
    <w:rPr>
      <w:sz w:val="18"/>
      <w:szCs w:val="18"/>
    </w:rPr>
  </w:style>
  <w:style w:type="paragraph" w:styleId="6">
    <w:name w:val="footer"/>
    <w:basedOn w:val="1"/>
    <w:link w:val="21"/>
    <w:uiPriority w:val="99"/>
    <w:pPr>
      <w:tabs>
        <w:tab w:val="center" w:pos="4153"/>
        <w:tab w:val="right" w:pos="8306"/>
      </w:tabs>
      <w:snapToGrid w:val="0"/>
      <w:jc w:val="left"/>
    </w:pPr>
    <w:rPr>
      <w:sz w:val="18"/>
      <w:szCs w:val="18"/>
    </w:rPr>
  </w:style>
  <w:style w:type="paragraph" w:styleId="7">
    <w:name w:val="header"/>
    <w:basedOn w:val="1"/>
    <w:link w:val="20"/>
    <w:uiPriority w:val="99"/>
    <w:pPr>
      <w:pBdr>
        <w:bottom w:val="single" w:color="auto" w:sz="6" w:space="1"/>
      </w:pBdr>
      <w:tabs>
        <w:tab w:val="center" w:pos="4153"/>
        <w:tab w:val="right" w:pos="8306"/>
      </w:tabs>
      <w:snapToGrid w:val="0"/>
      <w:jc w:val="center"/>
    </w:pPr>
    <w:rPr>
      <w:sz w:val="18"/>
      <w:szCs w:val="18"/>
    </w:rPr>
  </w:style>
  <w:style w:type="paragraph" w:styleId="8">
    <w:name w:val="toc 1"/>
    <w:basedOn w:val="1"/>
    <w:next w:val="1"/>
    <w:autoRedefine/>
    <w:uiPriority w:val="39"/>
  </w:style>
  <w:style w:type="paragraph" w:styleId="9">
    <w:name w:val="toc 2"/>
    <w:basedOn w:val="1"/>
    <w:next w:val="1"/>
    <w:autoRedefine/>
    <w:uiPriority w:val="39"/>
    <w:pPr>
      <w:ind w:left="420" w:leftChars="200"/>
    </w:pPr>
  </w:style>
  <w:style w:type="paragraph" w:styleId="10">
    <w:name w:val="Normal (Web)"/>
    <w:basedOn w:val="1"/>
    <w:uiPriority w:val="99"/>
    <w:pPr>
      <w:spacing w:beforeAutospacing="1" w:afterAutospacing="1"/>
      <w:jc w:val="left"/>
    </w:pPr>
    <w:rPr>
      <w:rFonts w:cs="Times New Roman"/>
      <w:kern w:val="0"/>
      <w:sz w:val="24"/>
    </w:rPr>
  </w:style>
  <w:style w:type="table" w:styleId="12">
    <w:name w:val="Table Grid"/>
    <w:basedOn w:val="11"/>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4">
    <w:name w:val="Hyperlink"/>
    <w:basedOn w:val="13"/>
    <w:uiPriority w:val="99"/>
    <w:rPr>
      <w:color w:val="0000FF"/>
      <w:u w:val="single"/>
    </w:rPr>
  </w:style>
  <w:style w:type="character" w:styleId="15">
    <w:name w:val="annotation reference"/>
    <w:basedOn w:val="13"/>
    <w:qFormat/>
    <w:uiPriority w:val="0"/>
    <w:rPr>
      <w:sz w:val="21"/>
      <w:szCs w:val="21"/>
    </w:rPr>
  </w:style>
  <w:style w:type="paragraph" w:customStyle="1" w:styleId="16">
    <w:name w:val="WPSOffice手动目录 1"/>
    <w:autoRedefine/>
    <w:uiPriority w:val="0"/>
    <w:rPr>
      <w:rFonts w:ascii="Times New Roman" w:hAnsi="Times New Roman" w:eastAsia="宋体" w:cs="Times New Roman"/>
      <w:lang w:val="en-US" w:eastAsia="zh-CN" w:bidi="ar-SA"/>
    </w:rPr>
  </w:style>
  <w:style w:type="paragraph" w:customStyle="1" w:styleId="17">
    <w:name w:val="WPSOffice手动目录 2"/>
    <w:uiPriority w:val="0"/>
    <w:pPr>
      <w:ind w:left="200" w:leftChars="200"/>
    </w:pPr>
    <w:rPr>
      <w:rFonts w:ascii="Times New Roman" w:hAnsi="Times New Roman" w:eastAsia="宋体" w:cs="Times New Roman"/>
      <w:lang w:val="en-US" w:eastAsia="zh-CN" w:bidi="ar-SA"/>
    </w:rPr>
  </w:style>
  <w:style w:type="paragraph" w:customStyle="1" w:styleId="18">
    <w:name w:val="Table Paragraph"/>
    <w:basedOn w:val="1"/>
    <w:autoRedefine/>
    <w:qFormat/>
    <w:uiPriority w:val="1"/>
    <w:pPr>
      <w:adjustRightInd w:val="0"/>
      <w:snapToGrid w:val="0"/>
      <w:jc w:val="center"/>
    </w:pPr>
    <w:rPr>
      <w:rFonts w:ascii="仿宋" w:hAnsi="仿宋" w:eastAsia="仿宋" w:cs="仿宋"/>
      <w:b/>
      <w:bCs/>
      <w:kern w:val="0"/>
      <w:szCs w:val="21"/>
    </w:rPr>
  </w:style>
  <w:style w:type="paragraph" w:styleId="19">
    <w:name w:val="List Paragraph"/>
    <w:basedOn w:val="1"/>
    <w:autoRedefine/>
    <w:qFormat/>
    <w:uiPriority w:val="34"/>
    <w:pPr>
      <w:numPr>
        <w:ilvl w:val="0"/>
        <w:numId w:val="1"/>
      </w:numPr>
      <w:spacing w:line="360" w:lineRule="auto"/>
    </w:pPr>
  </w:style>
  <w:style w:type="character" w:customStyle="1" w:styleId="20">
    <w:name w:val="页眉 Char"/>
    <w:basedOn w:val="13"/>
    <w:link w:val="7"/>
    <w:uiPriority w:val="99"/>
    <w:rPr>
      <w:rFonts w:asciiTheme="minorHAnsi" w:hAnsiTheme="minorHAnsi" w:eastAsiaTheme="minorEastAsia" w:cstheme="minorBidi"/>
      <w:kern w:val="2"/>
      <w:sz w:val="18"/>
      <w:szCs w:val="18"/>
    </w:rPr>
  </w:style>
  <w:style w:type="character" w:customStyle="1" w:styleId="21">
    <w:name w:val="页脚 Char"/>
    <w:basedOn w:val="13"/>
    <w:link w:val="6"/>
    <w:uiPriority w:val="99"/>
    <w:rPr>
      <w:rFonts w:asciiTheme="minorHAnsi" w:hAnsiTheme="minorHAnsi" w:eastAsiaTheme="minorEastAsia" w:cstheme="minorBidi"/>
      <w:kern w:val="2"/>
      <w:sz w:val="18"/>
      <w:szCs w:val="18"/>
    </w:rPr>
  </w:style>
  <w:style w:type="character" w:styleId="22">
    <w:name w:val="Placeholder Text"/>
    <w:basedOn w:val="13"/>
    <w:semiHidden/>
    <w:uiPriority w:val="99"/>
    <w:rPr>
      <w:color w:val="808080"/>
    </w:rPr>
  </w:style>
  <w:style w:type="character" w:customStyle="1" w:styleId="23">
    <w:name w:val="标题 1 Char"/>
    <w:basedOn w:val="13"/>
    <w:link w:val="2"/>
    <w:uiPriority w:val="0"/>
    <w:rPr>
      <w:rFonts w:asciiTheme="minorHAnsi" w:hAnsiTheme="minorHAnsi" w:eastAsiaTheme="minorEastAsia" w:cstheme="minorBidi"/>
      <w:b/>
      <w:bCs/>
      <w:kern w:val="44"/>
      <w:sz w:val="44"/>
      <w:szCs w:val="44"/>
    </w:rPr>
  </w:style>
  <w:style w:type="character" w:customStyle="1" w:styleId="24">
    <w:name w:val="批注框文本 Char"/>
    <w:basedOn w:val="13"/>
    <w:link w:val="5"/>
    <w:uiPriority w:val="0"/>
    <w:rPr>
      <w:rFonts w:asciiTheme="minorHAnsi" w:hAnsiTheme="minorHAnsi" w:eastAsiaTheme="minorEastAsia" w:cstheme="minorBidi"/>
      <w:kern w:val="2"/>
      <w:sz w:val="18"/>
      <w:szCs w:val="18"/>
    </w:rPr>
  </w:style>
  <w:style w:type="paragraph" w:customStyle="1" w:styleId="25">
    <w:name w:val="表内容行距"/>
    <w:basedOn w:val="1"/>
    <w:link w:val="26"/>
    <w:uiPriority w:val="0"/>
    <w:pPr>
      <w:spacing w:line="340" w:lineRule="exact"/>
      <w:ind w:firstLine="100" w:firstLineChars="100"/>
    </w:pPr>
    <w:rPr>
      <w:rFonts w:ascii="Times New Roman" w:hAnsi="Times New Roman" w:eastAsia="方正书宋简体" w:cs="Times New Roman"/>
      <w:szCs w:val="21"/>
    </w:rPr>
  </w:style>
  <w:style w:type="character" w:customStyle="1" w:styleId="26">
    <w:name w:val="表内容行距 Char"/>
    <w:basedOn w:val="13"/>
    <w:link w:val="25"/>
    <w:uiPriority w:val="0"/>
    <w:rPr>
      <w:rFonts w:eastAsia="方正书宋简体"/>
      <w:kern w:val="2"/>
      <w:sz w:val="21"/>
      <w:szCs w:val="21"/>
    </w:rPr>
  </w:style>
  <w:style w:type="paragraph" w:styleId="27">
    <w:name w:val="No Spacing"/>
    <w:link w:val="28"/>
    <w:qFormat/>
    <w:uiPriority w:val="1"/>
    <w:rPr>
      <w:rFonts w:asciiTheme="minorHAnsi" w:hAnsiTheme="minorHAnsi" w:eastAsiaTheme="minorEastAsia" w:cstheme="minorBidi"/>
      <w:sz w:val="22"/>
      <w:szCs w:val="22"/>
      <w:lang w:val="en-US" w:eastAsia="zh-CN" w:bidi="ar-SA"/>
    </w:rPr>
  </w:style>
  <w:style w:type="character" w:customStyle="1" w:styleId="28">
    <w:name w:val="无间隔 Char"/>
    <w:basedOn w:val="13"/>
    <w:link w:val="27"/>
    <w:uiPriority w:val="1"/>
    <w:rPr>
      <w:rFonts w:asciiTheme="minorHAnsi" w:hAnsiTheme="minorHAnsi" w:eastAsiaTheme="minorEastAsia" w:cstheme="minorBidi"/>
      <w:sz w:val="22"/>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A3A09-F3A0-4781-8643-A3E9F7FAB4DC}">
  <ds:schemaRefs/>
</ds:datastoreItem>
</file>

<file path=docProps/app.xml><?xml version="1.0" encoding="utf-8"?>
<Properties xmlns="http://schemas.openxmlformats.org/officeDocument/2006/extended-properties" xmlns:vt="http://schemas.openxmlformats.org/officeDocument/2006/docPropsVTypes">
  <Template>Normal.dotm</Template>
  <Company>MS</Company>
  <Pages>21</Pages>
  <Words>9647</Words>
  <Characters>9736</Characters>
  <Lines>82</Lines>
  <Paragraphs>23</Paragraphs>
  <TotalTime>193</TotalTime>
  <ScaleCrop>false</ScaleCrop>
  <LinksUpToDate>false</LinksUpToDate>
  <CharactersWithSpaces>9850</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2024-05-28T01:25:00Z</dcterms:created>
  <dc:creator>CMQ</dc:creator>
  <cp:lastModifiedBy>LZX</cp:lastModifiedBy>
  <dcterms:modified xsi:type="dcterms:W3CDTF">2024-07-16T07:06:00Z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D4742DC70528479BB1DBE047C3B4D878_13</vt:lpwstr>
  </property>
</Properties>
</file>