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0" w:beforeLines="1000"/>
        <w:jc w:val="center"/>
        <w:rPr>
          <w:rFonts w:ascii="宋体" w:hAnsi="宋体" w:eastAsia="宋体" w:cs="宋体"/>
          <w:b/>
          <w:bCs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sz w:val="52"/>
          <w:szCs w:val="52"/>
        </w:rPr>
        <w:t>《</w:t>
      </w:r>
      <w:r>
        <w:rPr>
          <w:rFonts w:hint="eastAsia" w:ascii="宋体" w:hAnsi="宋体" w:eastAsia="宋体" w:cs="宋体"/>
          <w:b/>
          <w:bCs/>
          <w:sz w:val="52"/>
          <w:szCs w:val="52"/>
          <w:lang w:eastAsia="zh-CN"/>
        </w:rPr>
        <w:t>汽车机械常识</w:t>
      </w:r>
      <w:r>
        <w:rPr>
          <w:rFonts w:hint="eastAsia" w:ascii="宋体" w:hAnsi="宋体" w:eastAsia="宋体" w:cs="宋体"/>
          <w:b/>
          <w:bCs/>
          <w:sz w:val="52"/>
          <w:szCs w:val="52"/>
        </w:rPr>
        <w:t>》</w:t>
      </w:r>
    </w:p>
    <w:p>
      <w:pPr>
        <w:jc w:val="center"/>
        <w:rPr>
          <w:rFonts w:ascii="宋体" w:hAnsi="宋体" w:eastAsia="宋体" w:cs="宋体"/>
          <w:b/>
          <w:bCs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sz w:val="52"/>
          <w:szCs w:val="52"/>
        </w:rPr>
        <w:t>课程标准</w:t>
      </w:r>
    </w:p>
    <w:p>
      <w:pPr>
        <w:spacing w:before="4680" w:beforeLines="1500"/>
        <w:ind w:firstLine="1950" w:firstLineChars="650"/>
        <w:rPr>
          <w:rFonts w:hint="eastAsia" w:ascii="黑体" w:hAnsi="黑体" w:eastAsia="黑体" w:cs="黑体"/>
          <w:sz w:val="30"/>
          <w:szCs w:val="30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</w:rPr>
        <w:t>课程性质：</w:t>
      </w:r>
      <w:r>
        <w:rPr>
          <w:rFonts w:hint="eastAsia" w:ascii="黑体" w:hAnsi="黑体" w:eastAsia="黑体" w:cs="黑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  <w:u w:val="single"/>
          <w:lang w:eastAsia="zh-CN"/>
        </w:rPr>
        <w:t>汽车运用与维修</w:t>
      </w:r>
      <w:r>
        <w:rPr>
          <w:rFonts w:hint="eastAsia" w:ascii="黑体" w:hAnsi="黑体" w:eastAsia="黑体" w:cs="黑体"/>
          <w:sz w:val="30"/>
          <w:szCs w:val="30"/>
          <w:u w:val="single"/>
        </w:rPr>
        <w:t>专业核心课</w:t>
      </w:r>
      <w:r>
        <w:rPr>
          <w:rFonts w:hint="eastAsia" w:ascii="黑体" w:hAnsi="黑体" w:eastAsia="黑体" w:cs="黑体"/>
          <w:sz w:val="30"/>
          <w:szCs w:val="30"/>
          <w:u w:val="single"/>
          <w:lang w:val="en-US" w:eastAsia="zh-CN"/>
        </w:rPr>
        <w:t xml:space="preserve"> </w:t>
      </w:r>
    </w:p>
    <w:p>
      <w:pPr>
        <w:ind w:firstLine="1950" w:firstLineChars="650"/>
      </w:pPr>
      <w:r>
        <w:rPr>
          <w:rFonts w:hint="eastAsia" w:ascii="黑体" w:hAnsi="黑体" w:eastAsia="黑体" w:cs="黑体"/>
          <w:sz w:val="30"/>
          <w:szCs w:val="30"/>
        </w:rPr>
        <w:t>授课对象：</w:t>
      </w:r>
      <w:r>
        <w:rPr>
          <w:rFonts w:hint="eastAsia" w:ascii="黑体" w:hAnsi="黑体" w:eastAsia="黑体" w:cs="黑体"/>
          <w:sz w:val="30"/>
          <w:szCs w:val="30"/>
          <w:u w:val="single"/>
          <w:lang w:eastAsia="zh-CN"/>
        </w:rPr>
        <w:t>汽车运用与维修</w:t>
      </w:r>
      <w:r>
        <w:rPr>
          <w:rFonts w:hint="eastAsia" w:ascii="黑体" w:hAnsi="黑体" w:eastAsia="黑体" w:cs="黑体"/>
          <w:sz w:val="28"/>
          <w:szCs w:val="28"/>
          <w:u w:val="single"/>
        </w:rPr>
        <w:t>专业</w:t>
      </w:r>
      <w:r>
        <w:rPr>
          <w:rFonts w:hint="eastAsia" w:ascii="黑体" w:hAnsi="黑体" w:eastAsia="黑体" w:cs="黑体"/>
          <w:sz w:val="28"/>
          <w:szCs w:val="28"/>
          <w:u w:val="single"/>
          <w:lang w:eastAsia="zh-CN"/>
        </w:rPr>
        <w:t>一</w:t>
      </w:r>
      <w:r>
        <w:rPr>
          <w:rFonts w:hint="eastAsia" w:ascii="黑体" w:hAnsi="黑体" w:eastAsia="黑体" w:cs="黑体"/>
          <w:sz w:val="28"/>
          <w:szCs w:val="28"/>
          <w:u w:val="single"/>
        </w:rPr>
        <w:t>年级学生</w:t>
      </w:r>
    </w:p>
    <w:p>
      <w:pPr>
        <w:ind w:firstLine="1950" w:firstLineChars="650"/>
        <w:rPr>
          <w:rFonts w:ascii="黑体" w:hAnsi="黑体" w:eastAsia="黑体" w:cs="黑体"/>
          <w:sz w:val="30"/>
          <w:szCs w:val="30"/>
          <w:u w:val="single"/>
        </w:rPr>
      </w:pPr>
      <w:bookmarkStart w:id="0" w:name="_Toc15366"/>
      <w:bookmarkStart w:id="1" w:name="_Toc31554"/>
      <w:bookmarkStart w:id="2" w:name="_Toc4964"/>
      <w:bookmarkStart w:id="3" w:name="_Toc11884"/>
      <w:bookmarkStart w:id="4" w:name="_Toc14206"/>
      <w:bookmarkStart w:id="5" w:name="_Toc798"/>
      <w:r>
        <w:rPr>
          <w:rFonts w:hint="eastAsia" w:ascii="黑体" w:hAnsi="黑体" w:eastAsia="黑体" w:cs="黑体"/>
          <w:sz w:val="30"/>
          <w:szCs w:val="30"/>
        </w:rPr>
        <w:t>课程总学时：</w:t>
      </w:r>
      <w:r>
        <w:rPr>
          <w:rFonts w:hint="eastAsia" w:ascii="黑体" w:hAnsi="黑体" w:eastAsia="黑体" w:cs="黑体"/>
          <w:sz w:val="30"/>
          <w:szCs w:val="30"/>
          <w:u w:val="single"/>
          <w:lang w:val="en-US" w:eastAsia="zh-CN"/>
        </w:rPr>
        <w:t xml:space="preserve">          54</w:t>
      </w:r>
      <w:r>
        <w:rPr>
          <w:rFonts w:hint="eastAsia" w:ascii="黑体" w:hAnsi="黑体" w:eastAsia="黑体" w:cs="黑体"/>
          <w:sz w:val="30"/>
          <w:szCs w:val="30"/>
          <w:u w:val="single"/>
        </w:rPr>
        <w:t>学时</w:t>
      </w:r>
      <w:bookmarkEnd w:id="0"/>
      <w:bookmarkEnd w:id="1"/>
      <w:bookmarkEnd w:id="2"/>
      <w:bookmarkEnd w:id="3"/>
      <w:bookmarkEnd w:id="4"/>
      <w:bookmarkEnd w:id="5"/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 w:cs="黑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   </w:t>
      </w:r>
    </w:p>
    <w:p>
      <w:pPr>
        <w:rPr>
          <w:rFonts w:ascii="黑体" w:hAnsi="黑体" w:eastAsia="黑体" w:cs="黑体"/>
          <w:sz w:val="30"/>
          <w:szCs w:val="30"/>
          <w:u w:val="single"/>
        </w:rPr>
      </w:pPr>
    </w:p>
    <w:p>
      <w:pPr>
        <w:rPr>
          <w:rFonts w:ascii="黑体" w:hAnsi="黑体" w:eastAsia="黑体" w:cs="黑体"/>
          <w:sz w:val="30"/>
          <w:szCs w:val="30"/>
          <w:u w:val="single"/>
        </w:rPr>
      </w:pPr>
    </w:p>
    <w:p>
      <w:pPr>
        <w:rPr>
          <w:rFonts w:ascii="黑体" w:hAnsi="黑体" w:eastAsia="黑体" w:cs="黑体"/>
          <w:sz w:val="30"/>
          <w:szCs w:val="30"/>
          <w:u w:val="single"/>
        </w:rPr>
      </w:pPr>
    </w:p>
    <w:p>
      <w:pPr>
        <w:rPr>
          <w:rFonts w:ascii="黑体" w:hAnsi="黑体" w:eastAsia="黑体" w:cs="黑体"/>
          <w:sz w:val="30"/>
          <w:szCs w:val="30"/>
          <w:u w:val="single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sdt>
      <w:sdtPr>
        <w:rPr>
          <w:rFonts w:ascii="宋体" w:hAnsi="宋体" w:eastAsia="宋体"/>
          <w:b/>
          <w:bCs/>
          <w:sz w:val="32"/>
          <w:szCs w:val="32"/>
        </w:rPr>
        <w:id w:val="147475104"/>
        <w:docPartObj>
          <w:docPartGallery w:val="Table of Contents"/>
          <w:docPartUnique/>
        </w:docPartObj>
      </w:sdtPr>
      <w:sdtEndPr>
        <w:rPr>
          <w:rFonts w:ascii="宋体" w:hAnsi="宋体" w:eastAsia="宋体"/>
          <w:b/>
          <w:bCs/>
          <w:sz w:val="32"/>
          <w:szCs w:val="32"/>
        </w:rPr>
      </w:sdtEndPr>
      <w:sdtContent>
        <w:p>
          <w:pPr>
            <w:jc w:val="center"/>
            <w:rPr>
              <w:b/>
              <w:bCs/>
              <w:sz w:val="32"/>
              <w:szCs w:val="32"/>
            </w:rPr>
          </w:pPr>
          <w:r>
            <w:rPr>
              <w:rFonts w:ascii="宋体" w:hAnsi="宋体" w:eastAsia="宋体"/>
              <w:b/>
              <w:bCs/>
              <w:sz w:val="32"/>
              <w:szCs w:val="32"/>
            </w:rPr>
            <w:t>目</w:t>
          </w:r>
          <w:r>
            <w:rPr>
              <w:rFonts w:hint="eastAsia" w:ascii="宋体" w:hAnsi="宋体" w:eastAsia="宋体"/>
              <w:b/>
              <w:bCs/>
              <w:sz w:val="32"/>
              <w:szCs w:val="32"/>
            </w:rPr>
            <w:t xml:space="preserve">  </w:t>
          </w:r>
          <w:r>
            <w:rPr>
              <w:rFonts w:ascii="宋体" w:hAnsi="宋体" w:eastAsia="宋体"/>
              <w:b/>
              <w:bCs/>
              <w:sz w:val="32"/>
              <w:szCs w:val="32"/>
            </w:rPr>
            <w:t>录</w:t>
          </w:r>
        </w:p>
        <w:p>
          <w:pPr>
            <w:pStyle w:val="11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TOC \o "1-2" \h \u </w:instrText>
          </w:r>
          <w:r>
            <w:rPr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"_Toc30850"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一、课程基本信息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_Toc30850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3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"_Toc17718"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二、课程性质与任务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_Toc17718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4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"_Toc19010"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（一）课程性质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_Toc19010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"_Toc1935"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（二）课程任务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_Toc1935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"_Toc139"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三、课程目标与要求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_Toc139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4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"_Toc100"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（一）总体目标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_Toc100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"_Toc2077"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（二）具体目标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_Toc2077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"_Toc17427"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四、课程结构与内容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_Toc17427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5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"_Toc7169"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（一）课程结构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_Toc7169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5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"_Toc8501"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（二）课程内容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_Toc8501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6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"_Toc6485"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五、学生考核与评价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_Toc6485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7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"_Toc19887"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六、教学实施与保障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_Toc19887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8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"_Toc32416"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（一）教材选用和编写建议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_Toc32416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8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"_Toc21827"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（二）课程资源的开发与利用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_Toc21827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8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"_Toc23207"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（三）教学基本条件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_Toc23207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8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"_Toc7550"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（四）教学建议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_Toc7550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10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"_Toc20256"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七、授课进度与安排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_Toc20256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10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>
          <w:pPr>
            <w:widowControl/>
            <w:spacing w:before="156" w:beforeLines="50" w:after="156" w:afterLines="50"/>
          </w:pPr>
          <w:r>
            <w:rPr>
              <w:b/>
              <w:sz w:val="24"/>
            </w:rPr>
            <w:fldChar w:fldCharType="end"/>
          </w:r>
        </w:p>
      </w:sdtContent>
    </w:sdt>
    <w:p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bookmarkStart w:id="6" w:name="_Toc30850"/>
    </w:p>
    <w:p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课程基本信息</w:t>
      </w:r>
      <w:bookmarkEnd w:id="6"/>
    </w:p>
    <w:p>
      <w:pPr>
        <w:pStyle w:val="2"/>
        <w:jc w:val="center"/>
        <w:rPr>
          <w:rFonts w:ascii="仿宋" w:hAnsi="仿宋" w:eastAsia="仿宋" w:cs="仿宋"/>
          <w:b/>
          <w:bCs/>
          <w:sz w:val="21"/>
          <w:szCs w:val="28"/>
        </w:rPr>
      </w:pPr>
      <w:r>
        <w:rPr>
          <w:rFonts w:hint="eastAsia" w:ascii="仿宋" w:hAnsi="仿宋" w:eastAsia="仿宋" w:cs="仿宋"/>
          <w:b/>
          <w:bCs/>
          <w:sz w:val="21"/>
          <w:szCs w:val="28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8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8"/>
        </w:rPr>
        <w:t>1</w: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8"/>
        </w:rPr>
        <w:t xml:space="preserve"> 课程基本信息一览表</w:t>
      </w:r>
    </w:p>
    <w:tbl>
      <w:tblPr>
        <w:tblStyle w:val="7"/>
        <w:tblW w:w="8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6"/>
        <w:gridCol w:w="590"/>
        <w:gridCol w:w="1970"/>
        <w:gridCol w:w="1640"/>
        <w:gridCol w:w="2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课程代码</w:t>
            </w:r>
          </w:p>
        </w:tc>
        <w:tc>
          <w:tcPr>
            <w:tcW w:w="256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64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开课系部</w:t>
            </w:r>
          </w:p>
        </w:tc>
        <w:tc>
          <w:tcPr>
            <w:tcW w:w="275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汽车工程系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课程名称</w:t>
            </w:r>
          </w:p>
        </w:tc>
        <w:tc>
          <w:tcPr>
            <w:tcW w:w="6950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汽车机械常识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面向专业</w:t>
            </w:r>
          </w:p>
        </w:tc>
        <w:tc>
          <w:tcPr>
            <w:tcW w:w="6950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汽车运用与维修专业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学分</w:t>
            </w:r>
          </w:p>
        </w:tc>
        <w:tc>
          <w:tcPr>
            <w:tcW w:w="256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164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总学时</w:t>
            </w:r>
          </w:p>
        </w:tc>
        <w:tc>
          <w:tcPr>
            <w:tcW w:w="275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理论学时</w:t>
            </w:r>
          </w:p>
        </w:tc>
        <w:tc>
          <w:tcPr>
            <w:tcW w:w="256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46</w:t>
            </w:r>
          </w:p>
        </w:tc>
        <w:tc>
          <w:tcPr>
            <w:tcW w:w="164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实践学时</w:t>
            </w:r>
          </w:p>
        </w:tc>
        <w:tc>
          <w:tcPr>
            <w:tcW w:w="275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6" w:type="dxa"/>
            <w:gridSpan w:val="5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本课程与其它课程在知识、技能、素质素养等方面的衔接与融通关系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  <w:gridSpan w:val="2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编制人</w:t>
            </w:r>
          </w:p>
        </w:tc>
        <w:tc>
          <w:tcPr>
            <w:tcW w:w="6360" w:type="dxa"/>
            <w:gridSpan w:val="3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黄秋婵、林思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  <w:gridSpan w:val="2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审定人</w:t>
            </w:r>
          </w:p>
        </w:tc>
        <w:tc>
          <w:tcPr>
            <w:tcW w:w="6360" w:type="dxa"/>
            <w:gridSpan w:val="3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bookmarkStart w:id="23" w:name="_GoBack"/>
            <w:bookmarkEnd w:id="2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  <w:gridSpan w:val="2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批准日期</w:t>
            </w:r>
          </w:p>
        </w:tc>
        <w:tc>
          <w:tcPr>
            <w:tcW w:w="6360" w:type="dxa"/>
            <w:gridSpan w:val="3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  <w:gridSpan w:val="2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修订日期</w:t>
            </w:r>
          </w:p>
        </w:tc>
        <w:tc>
          <w:tcPr>
            <w:tcW w:w="6360" w:type="dxa"/>
            <w:gridSpan w:val="3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</w:tbl>
    <w:p>
      <w:pPr>
        <w:ind w:left="420"/>
        <w:outlineLvl w:val="0"/>
        <w:rPr>
          <w:rFonts w:ascii="黑体" w:hAnsi="黑体" w:eastAsia="黑体" w:cs="黑体"/>
          <w:sz w:val="30"/>
          <w:szCs w:val="30"/>
        </w:rPr>
      </w:pPr>
    </w:p>
    <w:p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bookmarkStart w:id="7" w:name="_Toc17718"/>
      <w:r>
        <w:rPr>
          <w:rFonts w:hint="eastAsia" w:ascii="黑体" w:hAnsi="黑体" w:eastAsia="黑体" w:cs="黑体"/>
          <w:sz w:val="28"/>
          <w:szCs w:val="28"/>
        </w:rPr>
        <w:t>课程性质与任务</w:t>
      </w:r>
      <w:bookmarkEnd w:id="7"/>
    </w:p>
    <w:p>
      <w:pPr>
        <w:numPr>
          <w:ilvl w:val="0"/>
          <w:numId w:val="2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8" w:name="_Toc19010"/>
      <w:r>
        <w:rPr>
          <w:rFonts w:hint="eastAsia" w:ascii="楷体" w:hAnsi="楷体" w:eastAsia="楷体" w:cs="楷体"/>
          <w:sz w:val="28"/>
          <w:szCs w:val="28"/>
        </w:rPr>
        <w:t>课程性质</w:t>
      </w:r>
      <w:bookmarkEnd w:id="8"/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本课程是机械类及工程技术类相关专业的一门专业</w:t>
      </w:r>
      <w:r>
        <w:rPr>
          <w:rFonts w:hint="eastAsia" w:ascii="仿宋" w:hAnsi="仿宋" w:eastAsia="仿宋" w:cs="仿宋"/>
          <w:sz w:val="24"/>
          <w:lang w:eastAsia="zh-CN"/>
        </w:rPr>
        <w:t>基础</w:t>
      </w:r>
      <w:r>
        <w:rPr>
          <w:rFonts w:hint="eastAsia" w:ascii="仿宋" w:hAnsi="仿宋" w:eastAsia="仿宋" w:cs="仿宋"/>
          <w:sz w:val="24"/>
        </w:rPr>
        <w:t>课程。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本课程开设在第</w:t>
      </w:r>
      <w:r>
        <w:rPr>
          <w:rFonts w:hint="eastAsia" w:ascii="仿宋" w:hAnsi="仿宋" w:eastAsia="仿宋" w:cs="仿宋"/>
          <w:sz w:val="24"/>
          <w:lang w:eastAsia="zh-CN"/>
        </w:rPr>
        <w:t>二</w:t>
      </w:r>
      <w:r>
        <w:rPr>
          <w:rFonts w:hint="eastAsia" w:ascii="仿宋" w:hAnsi="仿宋" w:eastAsia="仿宋" w:cs="仿宋"/>
          <w:sz w:val="24"/>
        </w:rPr>
        <w:t>学期，</w:t>
      </w:r>
      <w:r>
        <w:rPr>
          <w:rFonts w:hint="eastAsia" w:ascii="仿宋" w:hAnsi="仿宋" w:eastAsia="仿宋" w:cs="仿宋"/>
          <w:sz w:val="24"/>
          <w:lang w:eastAsia="zh-CN"/>
        </w:rPr>
        <w:t>前置</w:t>
      </w:r>
      <w:r>
        <w:rPr>
          <w:rFonts w:hint="eastAsia" w:ascii="仿宋" w:hAnsi="仿宋" w:eastAsia="仿宋" w:cs="仿宋"/>
          <w:sz w:val="24"/>
        </w:rPr>
        <w:t>课程有：</w:t>
      </w:r>
      <w:r>
        <w:rPr>
          <w:rFonts w:hint="eastAsia" w:ascii="仿宋" w:hAnsi="仿宋" w:eastAsia="仿宋" w:cs="仿宋"/>
          <w:sz w:val="24"/>
          <w:lang w:eastAsia="zh-CN"/>
        </w:rPr>
        <w:t>《机械制图》</w:t>
      </w:r>
      <w:r>
        <w:rPr>
          <w:rFonts w:hint="eastAsia" w:ascii="仿宋" w:hAnsi="仿宋" w:eastAsia="仿宋" w:cs="仿宋"/>
          <w:sz w:val="24"/>
        </w:rPr>
        <w:t>,并行课程有：</w:t>
      </w:r>
      <w:r>
        <w:rPr>
          <w:rFonts w:hint="eastAsia" w:ascii="仿宋" w:hAnsi="仿宋" w:eastAsia="仿宋" w:cs="仿宋"/>
          <w:sz w:val="24"/>
          <w:lang w:eastAsia="zh-CN"/>
        </w:rPr>
        <w:t>《机械基础》</w:t>
      </w:r>
      <w:r>
        <w:rPr>
          <w:rFonts w:hint="eastAsia" w:ascii="仿宋" w:hAnsi="仿宋" w:eastAsia="仿宋" w:cs="仿宋"/>
          <w:sz w:val="24"/>
        </w:rPr>
        <w:t>。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该课程培养学生掌握必备的机械基本知识和基本技能，了解机械工作原理，熟悉常用机构的结构和特性，并具备正确选用材料和操作维护机械设备的能力。</w:t>
      </w:r>
    </w:p>
    <w:p>
      <w:pPr>
        <w:numPr>
          <w:ilvl w:val="0"/>
          <w:numId w:val="2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9" w:name="_Toc1935"/>
      <w:r>
        <w:rPr>
          <w:rFonts w:hint="eastAsia" w:ascii="楷体" w:hAnsi="楷体" w:eastAsia="楷体" w:cs="楷体"/>
          <w:sz w:val="28"/>
          <w:szCs w:val="28"/>
        </w:rPr>
        <w:t>课程任务</w:t>
      </w:r>
      <w:bookmarkEnd w:id="9"/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使学生掌握必备的机械基本知识和基本技能，懂得机械工作原理，了解机械工程材料性能，准确表达机械技术要求，正确操作和维护机械设备；培养学生分析问题和解决问题的能力，使其形成良好的学习习惯，具备继续学习专业技术的能力；对学生进行职业意识培养和职业道德教育，使其形成严谨、敬业的工作作风，为今后解决生产实际问题和职业生涯的发展奠定基础。</w:t>
      </w:r>
    </w:p>
    <w:p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bookmarkStart w:id="10" w:name="_Toc139"/>
      <w:r>
        <w:rPr>
          <w:rFonts w:hint="eastAsia" w:ascii="黑体" w:hAnsi="黑体" w:eastAsia="黑体" w:cs="黑体"/>
          <w:sz w:val="28"/>
          <w:szCs w:val="28"/>
        </w:rPr>
        <w:t>课程目标与要求</w:t>
      </w:r>
      <w:bookmarkEnd w:id="10"/>
    </w:p>
    <w:p>
      <w:pPr>
        <w:numPr>
          <w:ilvl w:val="0"/>
          <w:numId w:val="3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11" w:name="_Toc100"/>
      <w:r>
        <w:rPr>
          <w:rFonts w:hint="eastAsia" w:ascii="楷体" w:hAnsi="楷体" w:eastAsia="楷体" w:cs="楷体"/>
          <w:sz w:val="28"/>
          <w:szCs w:val="28"/>
        </w:rPr>
        <w:t>总体目标</w:t>
      </w:r>
      <w:bookmarkEnd w:id="11"/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通过本课程的学习，使学生具备对构件进行受力分析的基本知识，会判断直杆的基本变形；具备机械工程常用材料的种类、牌号、性能的基本知识，会正确选用材料；熟悉常用机构的结构和特性。</w:t>
      </w:r>
    </w:p>
    <w:p>
      <w:pPr>
        <w:numPr>
          <w:ilvl w:val="0"/>
          <w:numId w:val="3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12" w:name="_Toc2077"/>
      <w:r>
        <w:rPr>
          <w:rFonts w:hint="eastAsia" w:ascii="楷体" w:hAnsi="楷体" w:eastAsia="楷体" w:cs="楷体"/>
          <w:sz w:val="28"/>
          <w:szCs w:val="28"/>
        </w:rPr>
        <w:t>具体目标</w:t>
      </w:r>
      <w:bookmarkEnd w:id="12"/>
    </w:p>
    <w:p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1.素质目标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（1）养成自主学习的习惯；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（2）具备良好的职业道德和职业情感；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（3）提高适应职业变化的能力；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（4）培养精益求精的工匠精神。</w:t>
      </w:r>
    </w:p>
    <w:p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2.知识目标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（1）了解机械零件几何精度的国家标准</w:t>
      </w:r>
      <w:r>
        <w:rPr>
          <w:rFonts w:hint="eastAsia" w:ascii="仿宋" w:hAnsi="仿宋" w:eastAsia="仿宋" w:cs="仿宋"/>
          <w:sz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</w:rPr>
        <w:t>）了解气压传动和液压传动的原理、特点及应用</w:t>
      </w:r>
      <w:r>
        <w:rPr>
          <w:rFonts w:hint="eastAsia" w:ascii="仿宋" w:hAnsi="仿宋" w:eastAsia="仿宋" w:cs="仿宋"/>
          <w:sz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>理解极限与配合、形状和位置公差标注的标准</w:t>
      </w:r>
      <w:r>
        <w:rPr>
          <w:rFonts w:hint="eastAsia" w:ascii="仿宋" w:hAnsi="仿宋" w:eastAsia="仿宋" w:cs="仿宋"/>
          <w:sz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>熟悉常用机构的结构和特性</w:t>
      </w:r>
      <w:r>
        <w:rPr>
          <w:rFonts w:hint="eastAsia" w:ascii="仿宋" w:hAnsi="仿宋" w:eastAsia="仿宋" w:cs="仿宋"/>
          <w:sz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>掌握主要机械零部件的工作原理、结构和特点;</w:t>
      </w:r>
    </w:p>
    <w:p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3.能力目标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（1）具备获取、处理和表达技术信息，执行国家标准，使用技术资料的能力;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（2）能够运用所学知识和技能参加机械小发明、小制作等实践活动，尝试对简单机械进行维修和改进；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>具备改善润滑、降低能耗、减小噪声等方面的基本能力；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>能够分析和处理一般机械运行中发生的问题，具备维护一般机械的能力。</w:t>
      </w:r>
    </w:p>
    <w:p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bookmarkStart w:id="13" w:name="_Toc17427"/>
      <w:r>
        <w:rPr>
          <w:rFonts w:hint="eastAsia" w:ascii="黑体" w:hAnsi="黑体" w:eastAsia="黑体" w:cs="黑体"/>
          <w:sz w:val="28"/>
          <w:szCs w:val="28"/>
        </w:rPr>
        <w:t>课程结构与内容</w:t>
      </w:r>
      <w:bookmarkEnd w:id="13"/>
    </w:p>
    <w:p>
      <w:pPr>
        <w:numPr>
          <w:ilvl w:val="0"/>
          <w:numId w:val="4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14" w:name="_Toc7169"/>
      <w:r>
        <w:rPr>
          <w:rFonts w:hint="eastAsia" w:ascii="楷体" w:hAnsi="楷体" w:eastAsia="楷体" w:cs="楷体"/>
          <w:sz w:val="28"/>
          <w:szCs w:val="28"/>
        </w:rPr>
        <w:t>课程结构</w:t>
      </w:r>
      <w:bookmarkEnd w:id="14"/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bookmarkStart w:id="15" w:name="_Toc8501"/>
      <w:r>
        <w:rPr>
          <w:rFonts w:hint="eastAsia" w:ascii="仿宋" w:hAnsi="仿宋" w:eastAsia="仿宋" w:cs="仿宋"/>
          <w:sz w:val="24"/>
        </w:rPr>
        <w:t>教学内容由基础模块、综合实践模块和选学模块三部分组成。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 基础模块是各专业学生必修的基础性内容和应该达到的基本要求，教学时数不少于</w:t>
      </w:r>
      <w:r>
        <w:rPr>
          <w:rFonts w:hint="eastAsia" w:ascii="仿宋" w:hAnsi="仿宋" w:eastAsia="仿宋" w:cs="仿宋"/>
          <w:sz w:val="24"/>
          <w:lang w:val="en-US" w:eastAsia="zh-CN"/>
        </w:rPr>
        <w:t>40</w:t>
      </w:r>
      <w:r>
        <w:rPr>
          <w:rFonts w:hint="eastAsia" w:ascii="仿宋" w:hAnsi="仿宋" w:eastAsia="仿宋" w:cs="仿宋"/>
          <w:sz w:val="24"/>
        </w:rPr>
        <w:t>学时。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 综合实践模块是以典型机械拆装、调试和分析为主的综合性实践教学内容。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 选学模块是由学校根据专业培养的实际需要自主确定的选择性内容。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各模块中标“*”的内容，各学校可根据实际情况进行选择和安排教学。</w:t>
      </w:r>
    </w:p>
    <w:p>
      <w:pPr>
        <w:numPr>
          <w:ilvl w:val="0"/>
          <w:numId w:val="4"/>
        </w:numPr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课程内容</w:t>
      </w:r>
      <w:bookmarkEnd w:id="15"/>
    </w:p>
    <w:p>
      <w:pPr>
        <w:spacing w:line="360" w:lineRule="auto"/>
        <w:ind w:firstLine="48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本课程总课时为</w:t>
      </w:r>
      <w:r>
        <w:rPr>
          <w:rFonts w:hint="eastAsia" w:ascii="仿宋" w:hAnsi="仿宋" w:eastAsia="仿宋" w:cs="仿宋"/>
          <w:sz w:val="24"/>
          <w:lang w:val="en-US" w:eastAsia="zh-CN"/>
        </w:rPr>
        <w:t>54</w:t>
      </w:r>
      <w:r>
        <w:rPr>
          <w:rFonts w:hint="eastAsia" w:ascii="仿宋" w:hAnsi="仿宋" w:eastAsia="仿宋" w:cs="仿宋"/>
          <w:sz w:val="24"/>
        </w:rPr>
        <w:t>学时、</w:t>
      </w:r>
      <w:r>
        <w:rPr>
          <w:rFonts w:hint="eastAsia" w:ascii="仿宋" w:hAnsi="仿宋" w:eastAsia="仿宋" w:cs="仿宋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</w:rPr>
        <w:t>学分，课程内容及教学要求如表2所示。</w:t>
      </w:r>
    </w:p>
    <w:p>
      <w:pPr>
        <w:spacing w:line="360" w:lineRule="auto"/>
        <w:rPr>
          <w:rFonts w:ascii="仿宋" w:hAnsi="仿宋" w:eastAsia="仿宋" w:cs="仿宋"/>
          <w:sz w:val="24"/>
        </w:rPr>
      </w:pPr>
    </w:p>
    <w:p>
      <w:pPr>
        <w:pStyle w:val="2"/>
        <w:jc w:val="center"/>
        <w:rPr>
          <w:rFonts w:ascii="仿宋" w:hAnsi="仿宋" w:eastAsia="仿宋" w:cs="仿宋"/>
          <w:b/>
          <w:bCs/>
          <w:sz w:val="21"/>
          <w:szCs w:val="28"/>
        </w:rPr>
      </w:pPr>
      <w:r>
        <w:rPr>
          <w:rFonts w:hint="eastAsia" w:ascii="仿宋" w:hAnsi="仿宋" w:eastAsia="仿宋" w:cs="仿宋"/>
          <w:b/>
          <w:bCs/>
          <w:sz w:val="21"/>
          <w:szCs w:val="28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8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8"/>
        </w:rPr>
        <w:t>2</w: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8"/>
        </w:rPr>
        <w:t xml:space="preserve"> 课程内容及教学要求</w:t>
      </w:r>
    </w:p>
    <w:tbl>
      <w:tblPr>
        <w:tblStyle w:val="7"/>
        <w:tblW w:w="96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1744"/>
        <w:gridCol w:w="4062"/>
        <w:gridCol w:w="959"/>
        <w:gridCol w:w="1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</w:t>
            </w: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任务</w:t>
            </w:r>
          </w:p>
        </w:tc>
        <w:tc>
          <w:tcPr>
            <w:tcW w:w="406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教学内容与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教学要求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1+X证书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融入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思政元素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绪论</w:t>
            </w: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教学内容：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课程的内容、性质、任务和基本要求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一般机械的组成及基本要求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教学要求：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了解本课程的任务和学习要求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了解机械的组成；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了解机械零件的材料、结构、承载能力，摩擦、磨损和润滑的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项目一、机械传动</w:t>
            </w: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任务一：带传动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教学内容：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带传动的组成、工作原理和类型；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  <w:t>V带传动、同步带传动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教学要求：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了解带传动的工作原理、特点、类型和应用；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会计算带传动的平均传动比；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了解V带的结构和标准；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了解V带轮的材料和结构；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了解V带传动参数的选用；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了解影响带传动工作能力的因素；</w:t>
            </w:r>
          </w:p>
          <w:p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*了解新型带传动的应用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认识问题、分析问题、解决问题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实训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：调节台式钻床转速</w:t>
            </w: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会正确安装、张紧、调试和维护V带（或链）传动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任务二：链传动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教学内容：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链传动概述、滚子链传动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教学要求：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了解链传动的工作原理、类型、特点和应用；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会计算链传动的平均传动比；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*了解链传动参数的选用；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了解链传动的安装与维护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认识问题、分析问题、解决问题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4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任务三：齿轮传动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教学内容：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齿轮传动的概述；直齿圆柱齿轮传动；其他齿轮传动简介；齿轮失效、材料与热处理；齿轮的结构与齿轮传动的润滑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教学要求：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了解齿轮传动的特点、分类和应用；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会计算齿轮传动的平均传动比；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了解渐开线齿轮各部分的名称、主要参数；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了解齿轮的结构，能计算标准直齿圆柱齿轮的基本尺寸；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*掌握渐开线直齿圆柱齿轮传动的啮合条件；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*了解渐开线齿轮切齿原理、根切及最少齿数；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*了解变位齿轮的概念；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了解齿轮的失效形式与常用材料；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*了解齿轮传动精度的概念；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熟悉齿轮传动的维护方法；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*了解齿面接触疲劳强度和齿根弯曲疲劳强度的概念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任务四：蜗杆传动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教学内容：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蜗杆传动概述；蜗杆传动的主要参数、啮合条件与旋转方向判别；蜗杆和蜗轮的结构、材料及润滑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教学要求：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了解蜗杆传动的特点、类型和应用；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了解圆柱蜗杆传动的主要参数和几何尺寸；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会计算蜗杆传动的传动比；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会判定蜗杆传动中蜗轮的转向；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了解蜗杆传动的失效形式；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*了解蜗轮蜗杆的结构和常用材料；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熟悉蜗杆传动的维护措施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任务五：轮系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教学内容：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轮系分类及其应用特点、定轴轮系的传动分析及相关计算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教学要求：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了解轮系的分类和应用；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会计算定轴轮系的传动比；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*了解行星轮系传动比的计算；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*了解新型轮系的应用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实训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：减速器拆装与分析</w:t>
            </w: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会正确拆装减速器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项目二、机构</w:t>
            </w: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任务一：平面机构的组成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教学内容：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平面机构、平面运动副、平面机构的运动简图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教学要求：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认识平面机构；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了解平面运动副及其分类；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*了解平面运动副的结构及符号；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*能测绘平面机构的运动简图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任务二：平面连杆机构</w:t>
            </w: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教学内容：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平面连杆机构概述、铰链四杆机构的组成及分类、演化过程、平面四杆机构的基本性质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教学要求：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熟悉平面连杆机构的基本类型、特点和应用；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能判定铰链连杆机构的类型；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了解含有一个移动副的连杆机构的特点和应用；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*了解平面连杆机构的急回运动特性、压力角和死点位置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任务三：凸轮机构</w:t>
            </w: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教学内容：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凸轮机构概述、类型及从动件端部形状、工作过程及从动件常用运动规律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教学要求：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了解凸轮机构的组成、特点、分类和应用；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了解凸轮机构从动件的常用运动规律、压力角；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了解平面凸轮轮廓的绘制方法；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*了解凸轮的常用材料和结构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项目三、支承零部件</w:t>
            </w: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任务一：轴</w:t>
            </w: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教学内容：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轴的用途和分类、轴的结构和材料、轴上零件的固定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教学要求：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了解轴的分类、材料、结构和应用；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*了解轴的强度计算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任务二：轴承</w:t>
            </w: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教学内容：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滚动轴承、滑动轴承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教学要求：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了解滑动轴承的特点、主要结构和应用；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*了解滑动轴承的失效形式、常用材料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熟悉滚动轴承的类型、特点、代号及应用；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*掌握滚动轴承的选择原则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实训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：认识轴承的结构</w:t>
            </w: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理解轴系的结构；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会正确安装、拆卸轴承</w:t>
            </w:r>
          </w:p>
        </w:tc>
        <w:tc>
          <w:tcPr>
            <w:tcW w:w="959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项目四、连接</w:t>
            </w: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任务一：螺纹连接</w:t>
            </w: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教学内容：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螺纹的基本知识、螺纹标记、螺纹连接、螺旋传动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教学要求：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了解常用螺纹的类型、特点和应用；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熟悉螺纹连接的主要类型、应用、结构和防松方法；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熟悉螺纹连接拆装要领</w:t>
            </w:r>
          </w:p>
        </w:tc>
        <w:tc>
          <w:tcPr>
            <w:tcW w:w="959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任务二：键连接</w:t>
            </w: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教学内容：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平键连接、花键连接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教学要求：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了解键连接的类型与应用；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了解键连接的功用与分类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理解平键连接的结构与标准；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*能正确选用普通平键连接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了解花键连接的类型、特点和应用</w:t>
            </w:r>
          </w:p>
        </w:tc>
        <w:tc>
          <w:tcPr>
            <w:tcW w:w="959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任务三：销连接</w:t>
            </w: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教学内容：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联轴器、离合器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教学要求：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了解销连接的类型、特点和应用</w:t>
            </w:r>
          </w:p>
        </w:tc>
        <w:tc>
          <w:tcPr>
            <w:tcW w:w="959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任务四：联轴器、离合器</w:t>
            </w: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教学内容：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销连接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教学要求：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了解联轴器的功用、类型、特点和应用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了解离合器的功用、类型、特点和应用</w:t>
            </w:r>
          </w:p>
        </w:tc>
        <w:tc>
          <w:tcPr>
            <w:tcW w:w="959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345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实训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：拆装凸缘联轴器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会正确拆装联轴器</w:t>
            </w:r>
          </w:p>
        </w:tc>
        <w:tc>
          <w:tcPr>
            <w:tcW w:w="959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项目五：气压传动与液压传动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任务一：气压传动与液压传动的工作原理</w:t>
            </w: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教学内容：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气压传动与液压传动的工作原理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教学要求：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了解气压传动与液压传动的工作原理、基本参数和传动特点；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理解气压传动与液压传动系统的组成及元件符号</w:t>
            </w:r>
          </w:p>
        </w:tc>
        <w:tc>
          <w:tcPr>
            <w:tcW w:w="959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任务二：气压传动</w:t>
            </w:r>
          </w:p>
        </w:tc>
        <w:tc>
          <w:tcPr>
            <w:tcW w:w="4062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教学内容：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气压传动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教学要求：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了解气源装置及辅助元件的结构；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*了解气动控制元件与基本回路的组成、特点和应用</w:t>
            </w:r>
          </w:p>
        </w:tc>
        <w:tc>
          <w:tcPr>
            <w:tcW w:w="959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任务三：液压传动</w:t>
            </w:r>
          </w:p>
        </w:tc>
        <w:tc>
          <w:tcPr>
            <w:tcW w:w="4062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教学内容：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液压传动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教学要求：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了解液压动力元件、执行元件、控制元件和辅助元件的结构，理解其工作原理；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*了解液压传动基本回路的组成、特点和应用；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*能识读一般气压传动与液压传动系统图</w:t>
            </w:r>
          </w:p>
        </w:tc>
        <w:tc>
          <w:tcPr>
            <w:tcW w:w="959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5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744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实训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：搭建气动回路</w:t>
            </w:r>
          </w:p>
        </w:tc>
        <w:tc>
          <w:tcPr>
            <w:tcW w:w="406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用气压元件搭建简单常用回路</w:t>
            </w:r>
          </w:p>
        </w:tc>
        <w:tc>
          <w:tcPr>
            <w:tcW w:w="959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58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安全规范、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细致严谨</w:t>
            </w:r>
          </w:p>
        </w:tc>
      </w:tr>
    </w:tbl>
    <w:p/>
    <w:p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bookmarkStart w:id="16" w:name="_Toc6485"/>
      <w:r>
        <w:rPr>
          <w:rFonts w:hint="eastAsia" w:ascii="黑体" w:hAnsi="黑体" w:eastAsia="黑体" w:cs="黑体"/>
          <w:sz w:val="28"/>
          <w:szCs w:val="28"/>
        </w:rPr>
        <w:t>学生考核与评价</w:t>
      </w:r>
      <w:bookmarkEnd w:id="16"/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汽车</w:t>
      </w:r>
      <w:r>
        <w:rPr>
          <w:rFonts w:hint="eastAsia" w:ascii="仿宋" w:hAnsi="仿宋" w:eastAsia="仿宋" w:cs="仿宋"/>
          <w:sz w:val="24"/>
          <w:lang w:eastAsia="zh-CN"/>
        </w:rPr>
        <w:t>机械考证</w:t>
      </w:r>
      <w:r>
        <w:rPr>
          <w:rFonts w:hint="eastAsia" w:ascii="仿宋" w:hAnsi="仿宋" w:eastAsia="仿宋" w:cs="仿宋"/>
          <w:sz w:val="24"/>
        </w:rPr>
        <w:t>综合评价见表3。</w:t>
      </w:r>
    </w:p>
    <w:p>
      <w:pPr>
        <w:pStyle w:val="2"/>
        <w:jc w:val="center"/>
        <w:rPr>
          <w:rFonts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1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1"/>
        </w:rPr>
        <w:t>3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 课程综合评价指标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5342"/>
        <w:gridCol w:w="1267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11" w:type="pct"/>
            <w:vAlign w:val="center"/>
          </w:tcPr>
          <w:p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评价</w:t>
            </w:r>
          </w:p>
          <w:p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项目</w:t>
            </w:r>
          </w:p>
        </w:tc>
        <w:tc>
          <w:tcPr>
            <w:tcW w:w="3133" w:type="pct"/>
            <w:vAlign w:val="center"/>
          </w:tcPr>
          <w:p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评价内容</w:t>
            </w:r>
          </w:p>
        </w:tc>
        <w:tc>
          <w:tcPr>
            <w:tcW w:w="743" w:type="pct"/>
            <w:vAlign w:val="center"/>
          </w:tcPr>
          <w:p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权重（%）</w:t>
            </w:r>
          </w:p>
        </w:tc>
        <w:tc>
          <w:tcPr>
            <w:tcW w:w="611" w:type="pct"/>
            <w:vAlign w:val="center"/>
          </w:tcPr>
          <w:p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总比例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511" w:type="pct"/>
            <w:vMerge w:val="restart"/>
            <w:vAlign w:val="center"/>
          </w:tcPr>
          <w:p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课前</w:t>
            </w:r>
          </w:p>
        </w:tc>
        <w:tc>
          <w:tcPr>
            <w:tcW w:w="3133" w:type="pct"/>
            <w:vAlign w:val="center"/>
          </w:tcPr>
          <w:p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微课及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在线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学习</w:t>
            </w:r>
          </w:p>
        </w:tc>
        <w:tc>
          <w:tcPr>
            <w:tcW w:w="743" w:type="pct"/>
            <w:vAlign w:val="center"/>
          </w:tcPr>
          <w:p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611" w:type="pct"/>
            <w:vMerge w:val="restart"/>
            <w:vAlign w:val="center"/>
          </w:tcPr>
          <w:p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511" w:type="pct"/>
            <w:vMerge w:val="continue"/>
            <w:vAlign w:val="center"/>
          </w:tcPr>
          <w:p>
            <w:pPr>
              <w:pStyle w:val="13"/>
              <w:adjustRightInd w:val="0"/>
              <w:snapToGrid w:val="0"/>
              <w:ind w:left="42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3133" w:type="pct"/>
            <w:vAlign w:val="center"/>
          </w:tcPr>
          <w:p>
            <w:pPr>
              <w:pStyle w:val="13"/>
              <w:adjustRightInd w:val="0"/>
              <w:snapToGrid w:val="0"/>
              <w:ind w:left="42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话题讨论（点赞及转发量）</w:t>
            </w:r>
          </w:p>
        </w:tc>
        <w:tc>
          <w:tcPr>
            <w:tcW w:w="743" w:type="pct"/>
            <w:vAlign w:val="center"/>
          </w:tcPr>
          <w:p>
            <w:pPr>
              <w:pStyle w:val="13"/>
              <w:adjustRightInd w:val="0"/>
              <w:snapToGrid w:val="0"/>
              <w:spacing w:before="75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11" w:type="pct"/>
            <w:vMerge w:val="continue"/>
          </w:tcPr>
          <w:p>
            <w:pPr>
              <w:pStyle w:val="13"/>
              <w:adjustRightInd w:val="0"/>
              <w:snapToGrid w:val="0"/>
              <w:spacing w:before="75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11" w:type="pct"/>
            <w:vMerge w:val="continue"/>
            <w:vAlign w:val="center"/>
          </w:tcPr>
          <w:p>
            <w:pPr>
              <w:pStyle w:val="13"/>
              <w:adjustRightInd w:val="0"/>
              <w:snapToGrid w:val="0"/>
              <w:ind w:left="42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3133" w:type="pct"/>
            <w:vAlign w:val="center"/>
          </w:tcPr>
          <w:p>
            <w:pPr>
              <w:pStyle w:val="13"/>
              <w:adjustRightInd w:val="0"/>
              <w:snapToGrid w:val="0"/>
              <w:ind w:left="42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课前测试（成绩）</w:t>
            </w:r>
          </w:p>
        </w:tc>
        <w:tc>
          <w:tcPr>
            <w:tcW w:w="743" w:type="pct"/>
            <w:vAlign w:val="center"/>
          </w:tcPr>
          <w:p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611" w:type="pct"/>
            <w:vMerge w:val="continue"/>
          </w:tcPr>
          <w:p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511" w:type="pct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1"/>
              </w:rPr>
              <w:t>课中</w:t>
            </w:r>
          </w:p>
        </w:tc>
        <w:tc>
          <w:tcPr>
            <w:tcW w:w="313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课堂考勤（准时）</w:t>
            </w:r>
          </w:p>
        </w:tc>
        <w:tc>
          <w:tcPr>
            <w:tcW w:w="743" w:type="pct"/>
            <w:vAlign w:val="center"/>
          </w:tcPr>
          <w:p>
            <w:pPr>
              <w:pStyle w:val="13"/>
              <w:adjustRightInd w:val="0"/>
              <w:snapToGrid w:val="0"/>
              <w:spacing w:before="75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611" w:type="pct"/>
            <w:vMerge w:val="restart"/>
            <w:vAlign w:val="center"/>
          </w:tcPr>
          <w:p>
            <w:pPr>
              <w:pStyle w:val="13"/>
              <w:adjustRightInd w:val="0"/>
              <w:snapToGrid w:val="0"/>
              <w:spacing w:before="75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80%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511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313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实训参与程度</w:t>
            </w:r>
          </w:p>
        </w:tc>
        <w:tc>
          <w:tcPr>
            <w:tcW w:w="743" w:type="pct"/>
            <w:vAlign w:val="center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611" w:type="pct"/>
            <w:vMerge w:val="continue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511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3133" w:type="pct"/>
            <w:vAlign w:val="center"/>
          </w:tcPr>
          <w:p>
            <w:pPr>
              <w:pStyle w:val="13"/>
              <w:adjustRightInd w:val="0"/>
              <w:snapToGrid w:val="0"/>
              <w:ind w:right="193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识图纪要填写</w:t>
            </w:r>
          </w:p>
        </w:tc>
        <w:tc>
          <w:tcPr>
            <w:tcW w:w="743" w:type="pct"/>
            <w:vAlign w:val="center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25</w:t>
            </w:r>
          </w:p>
        </w:tc>
        <w:tc>
          <w:tcPr>
            <w:tcW w:w="611" w:type="pct"/>
            <w:vMerge w:val="continue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11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313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劳动教育（投影仪器使用、施工方案收发、桌椅摆放、电源关闭）</w:t>
            </w:r>
          </w:p>
        </w:tc>
        <w:tc>
          <w:tcPr>
            <w:tcW w:w="743" w:type="pct"/>
            <w:vAlign w:val="center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611" w:type="pct"/>
            <w:vMerge w:val="continue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11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313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课堂整体表现（沟通、协调能力、职业素质、创新能力、成果展示）</w:t>
            </w:r>
          </w:p>
        </w:tc>
        <w:tc>
          <w:tcPr>
            <w:tcW w:w="743" w:type="pct"/>
            <w:vAlign w:val="center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611" w:type="pct"/>
            <w:vMerge w:val="continue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11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313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思政教育（劳动精神、工匠精神、劳模精神）</w:t>
            </w:r>
          </w:p>
        </w:tc>
        <w:tc>
          <w:tcPr>
            <w:tcW w:w="743" w:type="pct"/>
            <w:vAlign w:val="center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611" w:type="pct"/>
            <w:vMerge w:val="continue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11" w:type="pct"/>
            <w:vMerge w:val="restart"/>
            <w:vAlign w:val="center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课后</w:t>
            </w:r>
          </w:p>
        </w:tc>
        <w:tc>
          <w:tcPr>
            <w:tcW w:w="3133" w:type="pct"/>
            <w:vAlign w:val="center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课后测试（成绩）</w:t>
            </w:r>
          </w:p>
        </w:tc>
        <w:tc>
          <w:tcPr>
            <w:tcW w:w="743" w:type="pct"/>
            <w:vAlign w:val="center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611" w:type="pct"/>
            <w:vMerge w:val="restart"/>
            <w:vAlign w:val="center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511" w:type="pct"/>
            <w:vMerge w:val="continue"/>
            <w:vAlign w:val="center"/>
          </w:tcPr>
          <w:p>
            <w:pPr>
              <w:pStyle w:val="13"/>
              <w:adjustRightInd w:val="0"/>
              <w:snapToGrid w:val="0"/>
              <w:spacing w:before="7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  <w:tc>
          <w:tcPr>
            <w:tcW w:w="3133" w:type="pct"/>
            <w:vAlign w:val="center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虚拟系统工程实践</w:t>
            </w:r>
          </w:p>
        </w:tc>
        <w:tc>
          <w:tcPr>
            <w:tcW w:w="743" w:type="pct"/>
            <w:vAlign w:val="center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611" w:type="pct"/>
            <w:vMerge w:val="continue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511" w:type="pct"/>
            <w:vMerge w:val="continue"/>
            <w:vAlign w:val="center"/>
          </w:tcPr>
          <w:p>
            <w:pPr>
              <w:pStyle w:val="13"/>
              <w:adjustRightInd w:val="0"/>
              <w:snapToGrid w:val="0"/>
              <w:spacing w:before="7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  <w:tc>
          <w:tcPr>
            <w:tcW w:w="3133" w:type="pct"/>
            <w:vAlign w:val="center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话题讨论</w:t>
            </w:r>
          </w:p>
        </w:tc>
        <w:tc>
          <w:tcPr>
            <w:tcW w:w="743" w:type="pct"/>
            <w:vAlign w:val="center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11" w:type="pct"/>
            <w:vMerge w:val="continue"/>
          </w:tcPr>
          <w:p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注：1.表中评价内容及权重仅供参考，根据本课程特点进行调整；</w:t>
      </w:r>
    </w:p>
    <w:p>
      <w:pPr>
        <w:spacing w:line="360" w:lineRule="auto"/>
        <w:ind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2.增值赋分之后，总分不超过100分。</w:t>
      </w:r>
    </w:p>
    <w:p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bookmarkStart w:id="17" w:name="_Toc19887"/>
      <w:r>
        <w:rPr>
          <w:rFonts w:hint="eastAsia" w:ascii="黑体" w:hAnsi="黑体" w:eastAsia="黑体" w:cs="黑体"/>
          <w:sz w:val="28"/>
          <w:szCs w:val="28"/>
        </w:rPr>
        <w:t>教学实施与保障</w:t>
      </w:r>
      <w:bookmarkEnd w:id="17"/>
    </w:p>
    <w:p>
      <w:pPr>
        <w:numPr>
          <w:ilvl w:val="0"/>
          <w:numId w:val="5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18" w:name="_Toc32416"/>
      <w:r>
        <w:rPr>
          <w:rFonts w:hint="eastAsia" w:ascii="楷体" w:hAnsi="楷体" w:eastAsia="楷体" w:cs="楷体"/>
          <w:sz w:val="28"/>
          <w:szCs w:val="28"/>
        </w:rPr>
        <w:t>教材选用和编写建议</w:t>
      </w:r>
      <w:bookmarkEnd w:id="18"/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采取“任务驱动”法，通过真实工程案例、对接地基基础工程真实工作过程，融入课程思政、劳动教育的思路，编写学习任务手册。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对接1+X职业技能等级证书、依据</w:t>
      </w:r>
      <w:r>
        <w:rPr>
          <w:rFonts w:hint="eastAsia" w:ascii="仿宋" w:hAnsi="仿宋" w:eastAsia="仿宋" w:cs="仿宋"/>
          <w:sz w:val="24"/>
          <w:lang w:eastAsia="zh-CN"/>
        </w:rPr>
        <w:t>相关</w:t>
      </w:r>
      <w:r>
        <w:rPr>
          <w:rFonts w:hint="eastAsia" w:ascii="仿宋" w:hAnsi="仿宋" w:eastAsia="仿宋" w:cs="仿宋"/>
          <w:sz w:val="24"/>
        </w:rPr>
        <w:t>岗位工作技能要求，选用国家规划教材，如表3所示，重构教学内容，与企业共同开发基于真实工作过程教学做一体学习任务手册，并配套开发信息化资源、案例、虚拟仿真等，保证内容具有前瞻性、丰富性和实用性。</w:t>
      </w:r>
    </w:p>
    <w:p>
      <w:pPr>
        <w:pStyle w:val="2"/>
        <w:jc w:val="center"/>
        <w:rPr>
          <w:rFonts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1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1"/>
        </w:rPr>
        <w:t>4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 选用与参考教材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2706"/>
        <w:gridCol w:w="2191"/>
        <w:gridCol w:w="1652"/>
        <w:gridCol w:w="1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68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序号</w:t>
            </w: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文献名称</w:t>
            </w: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出版社</w:t>
            </w:r>
          </w:p>
        </w:tc>
        <w:tc>
          <w:tcPr>
            <w:tcW w:w="165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主编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机械基础（第七版）</w:t>
            </w: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中国劳动社会保障出版社</w:t>
            </w:r>
          </w:p>
        </w:tc>
        <w:tc>
          <w:tcPr>
            <w:tcW w:w="165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王希波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2023.6</w:t>
            </w:r>
          </w:p>
        </w:tc>
      </w:tr>
    </w:tbl>
    <w:p>
      <w:pPr>
        <w:numPr>
          <w:ilvl w:val="0"/>
          <w:numId w:val="5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19" w:name="_Toc21827"/>
      <w:r>
        <w:rPr>
          <w:rFonts w:hint="eastAsia" w:ascii="楷体" w:hAnsi="楷体" w:eastAsia="楷体" w:cs="楷体"/>
          <w:sz w:val="28"/>
          <w:szCs w:val="28"/>
        </w:rPr>
        <w:t>课程资源的开发与利用</w:t>
      </w:r>
      <w:bookmarkEnd w:id="19"/>
    </w:p>
    <w:p>
      <w:pPr>
        <w:numPr>
          <w:ilvl w:val="0"/>
          <w:numId w:val="6"/>
        </w:num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校企共同开发课件、教学资源库、虚拟仿真、特色视频、精品开放课等教学资源。</w:t>
      </w:r>
    </w:p>
    <w:p>
      <w:pPr>
        <w:numPr>
          <w:ilvl w:val="0"/>
          <w:numId w:val="6"/>
        </w:num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选用符合教学要求的录像、课件、视频、建筑模型、资料文献等资料辅助教学。</w:t>
      </w:r>
    </w:p>
    <w:p>
      <w:pPr>
        <w:numPr>
          <w:ilvl w:val="0"/>
          <w:numId w:val="6"/>
        </w:num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依托学校线上线下混合式教学平台进行课程资源建设。</w:t>
      </w:r>
    </w:p>
    <w:p>
      <w:pPr>
        <w:numPr>
          <w:ilvl w:val="0"/>
          <w:numId w:val="5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20" w:name="_Toc23207"/>
      <w:r>
        <w:rPr>
          <w:rFonts w:hint="eastAsia" w:ascii="楷体" w:hAnsi="楷体" w:eastAsia="楷体" w:cs="楷体"/>
          <w:sz w:val="28"/>
          <w:szCs w:val="28"/>
        </w:rPr>
        <w:t>教学基本条件</w:t>
      </w:r>
      <w:bookmarkEnd w:id="20"/>
    </w:p>
    <w:p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1.授课教师基本要求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本课程属于</w:t>
      </w:r>
      <w:r>
        <w:rPr>
          <w:rFonts w:hint="eastAsia" w:ascii="仿宋" w:hAnsi="仿宋" w:eastAsia="仿宋" w:cs="仿宋"/>
          <w:sz w:val="24"/>
          <w:lang w:eastAsia="zh-CN"/>
        </w:rPr>
        <w:t>机械</w:t>
      </w:r>
      <w:r>
        <w:rPr>
          <w:rFonts w:hint="eastAsia" w:ascii="仿宋" w:hAnsi="仿宋" w:eastAsia="仿宋" w:cs="仿宋"/>
          <w:sz w:val="24"/>
        </w:rPr>
        <w:t>专业教学能力和要求较高的课程，尤其是对</w:t>
      </w:r>
      <w:r>
        <w:rPr>
          <w:rFonts w:hint="eastAsia" w:ascii="仿宋" w:hAnsi="仿宋" w:eastAsia="仿宋" w:cs="仿宋"/>
          <w:sz w:val="24"/>
          <w:lang w:eastAsia="zh-CN"/>
        </w:rPr>
        <w:t>并行</w:t>
      </w:r>
      <w:r>
        <w:rPr>
          <w:rFonts w:hint="eastAsia" w:ascii="仿宋" w:hAnsi="仿宋" w:eastAsia="仿宋" w:cs="仿宋"/>
          <w:sz w:val="24"/>
        </w:rPr>
        <w:t>课程学习意义重大。因此，授课教师应具备以下基本条件：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>具有中等职业教师资格证书，具有装备制造大类专业本科及以上学历；具有本专业理论和实践能力；能够落实课程思政要求，挖掘专业课程中的思政教育元素和资源；能够运用信息技术开展混合式教学等教法改革；能够跟踪新经济、新技术发展前沿，开展社会服务；专业教师每年至少1个月在企业或实训基地实训，每5年累计不少于6个月的企业实践经历。</w:t>
      </w:r>
    </w:p>
    <w:p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2.实践教学条件要求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教学设施满足本课程人才培养实施需要，达到国家发布的有关专业实训教学条件建设标准（仪器设备配备规范）要求。信息化条件保障能满足专业建设、教学管理、信息化教学和学生自主学习需要。本课程要求在具备多媒体设备的“理、虚、实”一体化教室实施，按照课程设计情况，支持线上线下混合式教学，见表4。</w:t>
      </w:r>
    </w:p>
    <w:p>
      <w:pPr>
        <w:pStyle w:val="2"/>
        <w:jc w:val="center"/>
        <w:rPr>
          <w:rFonts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1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1"/>
        </w:rPr>
        <w:t>5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 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实训室一览表</w:t>
      </w:r>
    </w:p>
    <w:tbl>
      <w:tblPr>
        <w:tblStyle w:val="6"/>
        <w:tblW w:w="8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411"/>
        <w:gridCol w:w="3424"/>
        <w:gridCol w:w="3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序号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实训室名称</w:t>
            </w:r>
          </w:p>
        </w:tc>
        <w:tc>
          <w:tcPr>
            <w:tcW w:w="34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实训功能</w:t>
            </w:r>
          </w:p>
        </w:tc>
        <w:tc>
          <w:tcPr>
            <w:tcW w:w="316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主要设备配置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  <w:jc w:val="center"/>
        </w:trPr>
        <w:tc>
          <w:tcPr>
            <w:tcW w:w="7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加工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实习室</w:t>
            </w:r>
          </w:p>
        </w:tc>
        <w:tc>
          <w:tcPr>
            <w:tcW w:w="342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调节台式钻床转速</w:t>
            </w:r>
          </w:p>
          <w:p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减速器拆装与分析</w:t>
            </w:r>
          </w:p>
          <w:p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认识轴承的结构</w:t>
            </w:r>
          </w:p>
          <w:p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拆装凸缘联轴器</w:t>
            </w:r>
          </w:p>
          <w:p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搭建气动回路</w:t>
            </w:r>
          </w:p>
        </w:tc>
        <w:tc>
          <w:tcPr>
            <w:tcW w:w="3161" w:type="dxa"/>
            <w:vAlign w:val="center"/>
          </w:tcPr>
          <w:p>
            <w:pPr>
              <w:rPr>
                <w:rFonts w:hint="eastAsia" w:ascii="仿宋" w:hAnsi="仿宋" w:cs="仿宋" w:eastAsiaTheme="minorEastAsia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台式钻床、减速器、轴承、凸缘联轴器、气动元件</w:t>
            </w:r>
          </w:p>
        </w:tc>
      </w:tr>
    </w:tbl>
    <w:p>
      <w:pPr>
        <w:numPr>
          <w:ilvl w:val="0"/>
          <w:numId w:val="5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21" w:name="_Toc7550"/>
      <w:r>
        <w:rPr>
          <w:rFonts w:hint="eastAsia" w:ascii="楷体" w:hAnsi="楷体" w:eastAsia="楷体" w:cs="楷体"/>
          <w:sz w:val="28"/>
          <w:szCs w:val="28"/>
        </w:rPr>
        <w:t>教学建议</w:t>
      </w:r>
      <w:bookmarkEnd w:id="21"/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1.在教学过程中，应立足于加强学生实际操作能力的培养，采用项目教学引领，以工作任务驱动提高学生兴趣，激发学生的成就动机。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2.由于本课程是工程技术专业</w:t>
      </w:r>
      <w:r>
        <w:rPr>
          <w:rFonts w:hint="eastAsia" w:ascii="仿宋" w:hAnsi="仿宋" w:eastAsia="仿宋" w:cs="仿宋"/>
          <w:sz w:val="24"/>
          <w:lang w:eastAsia="zh-CN"/>
        </w:rPr>
        <w:t>基础</w:t>
      </w:r>
      <w:r>
        <w:rPr>
          <w:rFonts w:hint="eastAsia" w:ascii="仿宋" w:hAnsi="仿宋" w:eastAsia="仿宋" w:cs="仿宋"/>
          <w:sz w:val="24"/>
        </w:rPr>
        <w:t>课程内容，因此在教学中采用了大量的真实</w:t>
      </w:r>
      <w:r>
        <w:rPr>
          <w:rFonts w:hint="eastAsia" w:ascii="仿宋" w:hAnsi="仿宋" w:eastAsia="仿宋" w:cs="仿宋"/>
          <w:sz w:val="24"/>
          <w:lang w:eastAsia="zh-CN"/>
        </w:rPr>
        <w:t>生产</w:t>
      </w:r>
      <w:r>
        <w:rPr>
          <w:rFonts w:hint="eastAsia" w:ascii="仿宋" w:hAnsi="仿宋" w:eastAsia="仿宋" w:cs="仿宋"/>
          <w:sz w:val="24"/>
        </w:rPr>
        <w:t>案例、最新的</w:t>
      </w:r>
      <w:r>
        <w:rPr>
          <w:rFonts w:hint="eastAsia" w:ascii="仿宋" w:hAnsi="仿宋" w:eastAsia="仿宋" w:cs="仿宋"/>
          <w:sz w:val="24"/>
          <w:lang w:eastAsia="zh-CN"/>
        </w:rPr>
        <w:t>车间</w:t>
      </w:r>
      <w:r>
        <w:rPr>
          <w:rFonts w:hint="eastAsia" w:ascii="仿宋" w:hAnsi="仿宋" w:eastAsia="仿宋" w:cs="仿宋"/>
          <w:sz w:val="24"/>
        </w:rPr>
        <w:t>质量验收规范和新工艺操作视频图片资料，在教学方式上采用了分组教学、实操教学，真正做到了教、学、做有机结合。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3.在教学过程中，要重视本专业领域，要将本专业新规章制度、施工新技术、新工艺和新材料及时纳入教材，贴近企业、贴近生产，使教材更贴近本专业的发展和实际需要。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4.教学过程中教师应积极引导学生提升“重规范安全，树环保意识，能吃苦耐劳，强职业荣誉”的职业素养。</w:t>
      </w:r>
    </w:p>
    <w:p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bookmarkStart w:id="22" w:name="_Toc20256"/>
      <w:r>
        <w:rPr>
          <w:rFonts w:hint="eastAsia" w:ascii="黑体" w:hAnsi="黑体" w:eastAsia="黑体" w:cs="黑体"/>
          <w:sz w:val="28"/>
          <w:szCs w:val="28"/>
        </w:rPr>
        <w:t>授课进度与安排</w:t>
      </w:r>
      <w:bookmarkEnd w:id="22"/>
    </w:p>
    <w:p>
      <w:pPr>
        <w:pStyle w:val="2"/>
        <w:jc w:val="center"/>
        <w:rPr>
          <w:rFonts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1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1"/>
        </w:rPr>
        <w:t>6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 授课进度与安排表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4"/>
        <w:gridCol w:w="4494"/>
        <w:gridCol w:w="1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</w:t>
            </w:r>
          </w:p>
        </w:tc>
        <w:tc>
          <w:tcPr>
            <w:tcW w:w="449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任务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2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绪论</w:t>
            </w:r>
          </w:p>
        </w:tc>
        <w:tc>
          <w:tcPr>
            <w:tcW w:w="449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2244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项目一、机械传动</w:t>
            </w: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任务一：带传动</w:t>
            </w:r>
          </w:p>
        </w:tc>
        <w:tc>
          <w:tcPr>
            <w:tcW w:w="1558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实训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：调节台式钻床转速</w:t>
            </w:r>
          </w:p>
        </w:tc>
        <w:tc>
          <w:tcPr>
            <w:tcW w:w="1558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任务二：链传动</w:t>
            </w:r>
          </w:p>
        </w:tc>
        <w:tc>
          <w:tcPr>
            <w:tcW w:w="1558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任务三：齿轮传动</w:t>
            </w:r>
          </w:p>
        </w:tc>
        <w:tc>
          <w:tcPr>
            <w:tcW w:w="1558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任务四：蜗杆传动</w:t>
            </w:r>
          </w:p>
        </w:tc>
        <w:tc>
          <w:tcPr>
            <w:tcW w:w="1558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任务五：轮系</w:t>
            </w:r>
          </w:p>
        </w:tc>
        <w:tc>
          <w:tcPr>
            <w:tcW w:w="1558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实训：减速器拆装与分析</w:t>
            </w:r>
          </w:p>
        </w:tc>
        <w:tc>
          <w:tcPr>
            <w:tcW w:w="1558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244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项目二、机构</w:t>
            </w: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任务一：平面机构的组成</w:t>
            </w:r>
          </w:p>
        </w:tc>
        <w:tc>
          <w:tcPr>
            <w:tcW w:w="1558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任务二：平面连杆机构</w:t>
            </w:r>
          </w:p>
        </w:tc>
        <w:tc>
          <w:tcPr>
            <w:tcW w:w="1558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任务三：凸轮机构</w:t>
            </w:r>
          </w:p>
        </w:tc>
        <w:tc>
          <w:tcPr>
            <w:tcW w:w="1558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244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项目三、支承零部件</w:t>
            </w: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任务一：轴</w:t>
            </w:r>
          </w:p>
        </w:tc>
        <w:tc>
          <w:tcPr>
            <w:tcW w:w="1558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任务二：轴承</w:t>
            </w:r>
          </w:p>
        </w:tc>
        <w:tc>
          <w:tcPr>
            <w:tcW w:w="1558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实训：认识轴承的结构</w:t>
            </w:r>
          </w:p>
        </w:tc>
        <w:tc>
          <w:tcPr>
            <w:tcW w:w="1558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2244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项目四、连接</w:t>
            </w: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任务一：螺纹连接</w:t>
            </w:r>
          </w:p>
        </w:tc>
        <w:tc>
          <w:tcPr>
            <w:tcW w:w="1558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任务二：键连接</w:t>
            </w:r>
          </w:p>
        </w:tc>
        <w:tc>
          <w:tcPr>
            <w:tcW w:w="1558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任务三：销连接</w:t>
            </w:r>
          </w:p>
        </w:tc>
        <w:tc>
          <w:tcPr>
            <w:tcW w:w="1558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任务四：联轴器、离合器</w:t>
            </w:r>
          </w:p>
        </w:tc>
        <w:tc>
          <w:tcPr>
            <w:tcW w:w="1558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实训：拆装凸缘联轴器</w:t>
            </w:r>
          </w:p>
        </w:tc>
        <w:tc>
          <w:tcPr>
            <w:tcW w:w="1558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244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项目五：气压传动与液压传动</w:t>
            </w: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任务一：气压传动与液压传动的工作原理</w:t>
            </w:r>
          </w:p>
        </w:tc>
        <w:tc>
          <w:tcPr>
            <w:tcW w:w="1558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任务二：气压传动</w:t>
            </w:r>
          </w:p>
        </w:tc>
        <w:tc>
          <w:tcPr>
            <w:tcW w:w="1558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任务三：液压传动</w:t>
            </w:r>
          </w:p>
        </w:tc>
        <w:tc>
          <w:tcPr>
            <w:tcW w:w="1558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244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  <w:tc>
          <w:tcPr>
            <w:tcW w:w="449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实训：搭建气动回路</w:t>
            </w:r>
          </w:p>
        </w:tc>
        <w:tc>
          <w:tcPr>
            <w:tcW w:w="1558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合计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54</w:t>
            </w:r>
          </w:p>
        </w:tc>
      </w:tr>
    </w:tbl>
    <w:p>
      <w:pPr>
        <w:ind w:left="420"/>
        <w:outlineLvl w:val="0"/>
        <w:rPr>
          <w:rFonts w:ascii="黑体" w:hAnsi="黑体" w:eastAsia="黑体" w:cs="黑体"/>
          <w:sz w:val="28"/>
          <w:szCs w:val="28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446159"/>
    <w:multiLevelType w:val="singleLevel"/>
    <w:tmpl w:val="C6446159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C89D55F4"/>
    <w:multiLevelType w:val="singleLevel"/>
    <w:tmpl w:val="C89D55F4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679981"/>
    <w:multiLevelType w:val="singleLevel"/>
    <w:tmpl w:val="1D67998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251F15DD"/>
    <w:multiLevelType w:val="singleLevel"/>
    <w:tmpl w:val="251F15DD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>
    <w:nsid w:val="493811AD"/>
    <w:multiLevelType w:val="singleLevel"/>
    <w:tmpl w:val="493811AD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5">
    <w:nsid w:val="6B4FBDEC"/>
    <w:multiLevelType w:val="singleLevel"/>
    <w:tmpl w:val="6B4FBDE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mMDM3ZTUwMTgwZmY4MTg2NzYwNzIzYTRiZGU3MjIifQ=="/>
  </w:docVars>
  <w:rsids>
    <w:rsidRoot w:val="00F93C2D"/>
    <w:rsid w:val="00005459"/>
    <w:rsid w:val="00015A70"/>
    <w:rsid w:val="000207E2"/>
    <w:rsid w:val="000349F8"/>
    <w:rsid w:val="00034C29"/>
    <w:rsid w:val="000407BB"/>
    <w:rsid w:val="0006364D"/>
    <w:rsid w:val="00085923"/>
    <w:rsid w:val="000A135B"/>
    <w:rsid w:val="000A7B8A"/>
    <w:rsid w:val="000B1628"/>
    <w:rsid w:val="000C4F78"/>
    <w:rsid w:val="000D59B6"/>
    <w:rsid w:val="000E4DCD"/>
    <w:rsid w:val="000E5721"/>
    <w:rsid w:val="0010109B"/>
    <w:rsid w:val="00127E35"/>
    <w:rsid w:val="00133BAB"/>
    <w:rsid w:val="0013482D"/>
    <w:rsid w:val="00135131"/>
    <w:rsid w:val="00135C14"/>
    <w:rsid w:val="00146FE4"/>
    <w:rsid w:val="0015277B"/>
    <w:rsid w:val="001722C7"/>
    <w:rsid w:val="00177A13"/>
    <w:rsid w:val="00184304"/>
    <w:rsid w:val="00186AA1"/>
    <w:rsid w:val="00191310"/>
    <w:rsid w:val="0019133B"/>
    <w:rsid w:val="001B303A"/>
    <w:rsid w:val="001C13B7"/>
    <w:rsid w:val="001C1C85"/>
    <w:rsid w:val="001D225D"/>
    <w:rsid w:val="001D4919"/>
    <w:rsid w:val="001F0E57"/>
    <w:rsid w:val="001F4441"/>
    <w:rsid w:val="002045AB"/>
    <w:rsid w:val="00212A9E"/>
    <w:rsid w:val="002211E2"/>
    <w:rsid w:val="00223F75"/>
    <w:rsid w:val="00256003"/>
    <w:rsid w:val="0026485D"/>
    <w:rsid w:val="0028436A"/>
    <w:rsid w:val="002B7C6D"/>
    <w:rsid w:val="002C07AB"/>
    <w:rsid w:val="002D60D0"/>
    <w:rsid w:val="002E7F8B"/>
    <w:rsid w:val="002F7D6A"/>
    <w:rsid w:val="002F7F2B"/>
    <w:rsid w:val="00314AE4"/>
    <w:rsid w:val="003165E4"/>
    <w:rsid w:val="00326E6C"/>
    <w:rsid w:val="00327BA2"/>
    <w:rsid w:val="003324D8"/>
    <w:rsid w:val="003468F1"/>
    <w:rsid w:val="00347B9F"/>
    <w:rsid w:val="0035156D"/>
    <w:rsid w:val="00363A4C"/>
    <w:rsid w:val="00365116"/>
    <w:rsid w:val="00365789"/>
    <w:rsid w:val="00376106"/>
    <w:rsid w:val="003773C8"/>
    <w:rsid w:val="00382D45"/>
    <w:rsid w:val="00392D59"/>
    <w:rsid w:val="00393B19"/>
    <w:rsid w:val="00394D19"/>
    <w:rsid w:val="0039525E"/>
    <w:rsid w:val="003A20A2"/>
    <w:rsid w:val="003A4AC4"/>
    <w:rsid w:val="003A57ED"/>
    <w:rsid w:val="003B789D"/>
    <w:rsid w:val="003C18C3"/>
    <w:rsid w:val="003C2E16"/>
    <w:rsid w:val="003E10F4"/>
    <w:rsid w:val="004220AF"/>
    <w:rsid w:val="00446E51"/>
    <w:rsid w:val="00460878"/>
    <w:rsid w:val="00461B4D"/>
    <w:rsid w:val="00461C39"/>
    <w:rsid w:val="004704ED"/>
    <w:rsid w:val="00490C5E"/>
    <w:rsid w:val="004911F6"/>
    <w:rsid w:val="00493D04"/>
    <w:rsid w:val="0049762B"/>
    <w:rsid w:val="004A39DF"/>
    <w:rsid w:val="004A6902"/>
    <w:rsid w:val="004B2D9C"/>
    <w:rsid w:val="004C5D63"/>
    <w:rsid w:val="004D1E96"/>
    <w:rsid w:val="004D20A6"/>
    <w:rsid w:val="004D280C"/>
    <w:rsid w:val="004E0522"/>
    <w:rsid w:val="004F497B"/>
    <w:rsid w:val="004F673B"/>
    <w:rsid w:val="00501F3D"/>
    <w:rsid w:val="00507912"/>
    <w:rsid w:val="00522AA3"/>
    <w:rsid w:val="005369C7"/>
    <w:rsid w:val="00537FDA"/>
    <w:rsid w:val="00554298"/>
    <w:rsid w:val="005573F7"/>
    <w:rsid w:val="00562884"/>
    <w:rsid w:val="00567CCA"/>
    <w:rsid w:val="00585FFA"/>
    <w:rsid w:val="0059012C"/>
    <w:rsid w:val="00595C07"/>
    <w:rsid w:val="005B0053"/>
    <w:rsid w:val="005B544C"/>
    <w:rsid w:val="005B67CF"/>
    <w:rsid w:val="005C0556"/>
    <w:rsid w:val="005C0D02"/>
    <w:rsid w:val="005C0F71"/>
    <w:rsid w:val="005C5083"/>
    <w:rsid w:val="005D29BD"/>
    <w:rsid w:val="005D787C"/>
    <w:rsid w:val="005E4161"/>
    <w:rsid w:val="005E69BD"/>
    <w:rsid w:val="005F3CEE"/>
    <w:rsid w:val="006038D9"/>
    <w:rsid w:val="0060797C"/>
    <w:rsid w:val="006147A3"/>
    <w:rsid w:val="00624CD2"/>
    <w:rsid w:val="00630220"/>
    <w:rsid w:val="00632430"/>
    <w:rsid w:val="00635025"/>
    <w:rsid w:val="006354D2"/>
    <w:rsid w:val="006438C1"/>
    <w:rsid w:val="00643AE4"/>
    <w:rsid w:val="00651E34"/>
    <w:rsid w:val="00666E7D"/>
    <w:rsid w:val="00677E39"/>
    <w:rsid w:val="0069626E"/>
    <w:rsid w:val="006A025E"/>
    <w:rsid w:val="006A1F9D"/>
    <w:rsid w:val="006A7B65"/>
    <w:rsid w:val="006B2661"/>
    <w:rsid w:val="006C5E51"/>
    <w:rsid w:val="006D0994"/>
    <w:rsid w:val="006D13D2"/>
    <w:rsid w:val="006D320A"/>
    <w:rsid w:val="006D7F55"/>
    <w:rsid w:val="006E062A"/>
    <w:rsid w:val="006E3B6D"/>
    <w:rsid w:val="00701048"/>
    <w:rsid w:val="007036DD"/>
    <w:rsid w:val="00705323"/>
    <w:rsid w:val="00730826"/>
    <w:rsid w:val="007340FA"/>
    <w:rsid w:val="00734E72"/>
    <w:rsid w:val="007352AD"/>
    <w:rsid w:val="00735BE5"/>
    <w:rsid w:val="007368C0"/>
    <w:rsid w:val="007427F9"/>
    <w:rsid w:val="007461D4"/>
    <w:rsid w:val="00757CCA"/>
    <w:rsid w:val="00762C70"/>
    <w:rsid w:val="007739B8"/>
    <w:rsid w:val="00773C21"/>
    <w:rsid w:val="007846DB"/>
    <w:rsid w:val="007A4501"/>
    <w:rsid w:val="007B1709"/>
    <w:rsid w:val="007B209C"/>
    <w:rsid w:val="007C16FD"/>
    <w:rsid w:val="007C751D"/>
    <w:rsid w:val="007D1966"/>
    <w:rsid w:val="007E524B"/>
    <w:rsid w:val="007F0A60"/>
    <w:rsid w:val="007F76C1"/>
    <w:rsid w:val="008021C0"/>
    <w:rsid w:val="008043F8"/>
    <w:rsid w:val="00826D52"/>
    <w:rsid w:val="00826E28"/>
    <w:rsid w:val="00827E8D"/>
    <w:rsid w:val="008402F3"/>
    <w:rsid w:val="00845441"/>
    <w:rsid w:val="0088764B"/>
    <w:rsid w:val="008B3F5A"/>
    <w:rsid w:val="008B5895"/>
    <w:rsid w:val="008C40AB"/>
    <w:rsid w:val="008D2107"/>
    <w:rsid w:val="008E7B35"/>
    <w:rsid w:val="008F01F0"/>
    <w:rsid w:val="008F4689"/>
    <w:rsid w:val="008F47BC"/>
    <w:rsid w:val="00901D25"/>
    <w:rsid w:val="00904113"/>
    <w:rsid w:val="00920D0E"/>
    <w:rsid w:val="00947C65"/>
    <w:rsid w:val="009508E5"/>
    <w:rsid w:val="00960CF4"/>
    <w:rsid w:val="009627A6"/>
    <w:rsid w:val="009733A7"/>
    <w:rsid w:val="009761C3"/>
    <w:rsid w:val="0097689D"/>
    <w:rsid w:val="00982D1A"/>
    <w:rsid w:val="009A6E21"/>
    <w:rsid w:val="009B13C8"/>
    <w:rsid w:val="009B64A9"/>
    <w:rsid w:val="009C5B27"/>
    <w:rsid w:val="00A02C6C"/>
    <w:rsid w:val="00A03703"/>
    <w:rsid w:val="00A16F9E"/>
    <w:rsid w:val="00A175B9"/>
    <w:rsid w:val="00A22559"/>
    <w:rsid w:val="00A22808"/>
    <w:rsid w:val="00A27EAC"/>
    <w:rsid w:val="00A35BC0"/>
    <w:rsid w:val="00A62490"/>
    <w:rsid w:val="00A83ACB"/>
    <w:rsid w:val="00A87C92"/>
    <w:rsid w:val="00AA10BB"/>
    <w:rsid w:val="00AA38AE"/>
    <w:rsid w:val="00AA3AAE"/>
    <w:rsid w:val="00AC63A4"/>
    <w:rsid w:val="00AC7069"/>
    <w:rsid w:val="00AC7F6E"/>
    <w:rsid w:val="00AE108F"/>
    <w:rsid w:val="00AE28B8"/>
    <w:rsid w:val="00AE4C38"/>
    <w:rsid w:val="00AF16BE"/>
    <w:rsid w:val="00AF2AA3"/>
    <w:rsid w:val="00AF3FB5"/>
    <w:rsid w:val="00B0004B"/>
    <w:rsid w:val="00B02684"/>
    <w:rsid w:val="00B10F0D"/>
    <w:rsid w:val="00B170C1"/>
    <w:rsid w:val="00B22333"/>
    <w:rsid w:val="00B27A33"/>
    <w:rsid w:val="00B32337"/>
    <w:rsid w:val="00B33372"/>
    <w:rsid w:val="00B34358"/>
    <w:rsid w:val="00B37C66"/>
    <w:rsid w:val="00B44FBB"/>
    <w:rsid w:val="00B516AE"/>
    <w:rsid w:val="00B523C3"/>
    <w:rsid w:val="00B77826"/>
    <w:rsid w:val="00B86083"/>
    <w:rsid w:val="00B9408C"/>
    <w:rsid w:val="00BA0707"/>
    <w:rsid w:val="00BA34DF"/>
    <w:rsid w:val="00BB4F59"/>
    <w:rsid w:val="00BC1117"/>
    <w:rsid w:val="00BD38C6"/>
    <w:rsid w:val="00BD5024"/>
    <w:rsid w:val="00BD51F0"/>
    <w:rsid w:val="00BD542D"/>
    <w:rsid w:val="00BF2547"/>
    <w:rsid w:val="00BF4066"/>
    <w:rsid w:val="00BF5A74"/>
    <w:rsid w:val="00C116AD"/>
    <w:rsid w:val="00C20D79"/>
    <w:rsid w:val="00C47DF4"/>
    <w:rsid w:val="00C709DA"/>
    <w:rsid w:val="00C86AB3"/>
    <w:rsid w:val="00C90009"/>
    <w:rsid w:val="00C93B99"/>
    <w:rsid w:val="00C97E6C"/>
    <w:rsid w:val="00CB4FF3"/>
    <w:rsid w:val="00CD7356"/>
    <w:rsid w:val="00CE7C21"/>
    <w:rsid w:val="00CF08C4"/>
    <w:rsid w:val="00CF4D0E"/>
    <w:rsid w:val="00D03C29"/>
    <w:rsid w:val="00D11164"/>
    <w:rsid w:val="00D12743"/>
    <w:rsid w:val="00D13B9C"/>
    <w:rsid w:val="00D15759"/>
    <w:rsid w:val="00D15B31"/>
    <w:rsid w:val="00D231E6"/>
    <w:rsid w:val="00D23DF3"/>
    <w:rsid w:val="00D44160"/>
    <w:rsid w:val="00D444D8"/>
    <w:rsid w:val="00D527D8"/>
    <w:rsid w:val="00D5736A"/>
    <w:rsid w:val="00D60504"/>
    <w:rsid w:val="00D6383C"/>
    <w:rsid w:val="00D65C92"/>
    <w:rsid w:val="00D70A92"/>
    <w:rsid w:val="00D81529"/>
    <w:rsid w:val="00D90CBC"/>
    <w:rsid w:val="00DA6C6A"/>
    <w:rsid w:val="00DB44B6"/>
    <w:rsid w:val="00DC3895"/>
    <w:rsid w:val="00DC62A9"/>
    <w:rsid w:val="00DD2004"/>
    <w:rsid w:val="00DD4756"/>
    <w:rsid w:val="00DE3BCA"/>
    <w:rsid w:val="00DE4FA1"/>
    <w:rsid w:val="00DF4364"/>
    <w:rsid w:val="00E01BCF"/>
    <w:rsid w:val="00E0495E"/>
    <w:rsid w:val="00E103E8"/>
    <w:rsid w:val="00E24F74"/>
    <w:rsid w:val="00E25482"/>
    <w:rsid w:val="00E311B9"/>
    <w:rsid w:val="00E345C3"/>
    <w:rsid w:val="00E37153"/>
    <w:rsid w:val="00E469E9"/>
    <w:rsid w:val="00E474A2"/>
    <w:rsid w:val="00E56A55"/>
    <w:rsid w:val="00E66426"/>
    <w:rsid w:val="00E67C7D"/>
    <w:rsid w:val="00E73C29"/>
    <w:rsid w:val="00E94445"/>
    <w:rsid w:val="00E97F07"/>
    <w:rsid w:val="00EA127D"/>
    <w:rsid w:val="00EC2C9E"/>
    <w:rsid w:val="00ED79DA"/>
    <w:rsid w:val="00EE0520"/>
    <w:rsid w:val="00EE2DB5"/>
    <w:rsid w:val="00EE474F"/>
    <w:rsid w:val="00F04F03"/>
    <w:rsid w:val="00F1101B"/>
    <w:rsid w:val="00F125DF"/>
    <w:rsid w:val="00F13383"/>
    <w:rsid w:val="00F31789"/>
    <w:rsid w:val="00F35CFD"/>
    <w:rsid w:val="00F54AD6"/>
    <w:rsid w:val="00F71475"/>
    <w:rsid w:val="00F93C2D"/>
    <w:rsid w:val="00FA357E"/>
    <w:rsid w:val="00FA75F0"/>
    <w:rsid w:val="00FB6425"/>
    <w:rsid w:val="00FB7221"/>
    <w:rsid w:val="00FC3810"/>
    <w:rsid w:val="00FD0A36"/>
    <w:rsid w:val="00FD5EA3"/>
    <w:rsid w:val="00FE2F87"/>
    <w:rsid w:val="00FE7E57"/>
    <w:rsid w:val="034A614A"/>
    <w:rsid w:val="06B86A37"/>
    <w:rsid w:val="077542B8"/>
    <w:rsid w:val="07C859DB"/>
    <w:rsid w:val="0DAE2941"/>
    <w:rsid w:val="0DFD284A"/>
    <w:rsid w:val="0F94547B"/>
    <w:rsid w:val="0FDF5034"/>
    <w:rsid w:val="10B1077E"/>
    <w:rsid w:val="1431041C"/>
    <w:rsid w:val="14507D3E"/>
    <w:rsid w:val="156C64C9"/>
    <w:rsid w:val="18F51424"/>
    <w:rsid w:val="1E472722"/>
    <w:rsid w:val="1EE22F59"/>
    <w:rsid w:val="1F3C2EB6"/>
    <w:rsid w:val="1F7532BF"/>
    <w:rsid w:val="220B4D17"/>
    <w:rsid w:val="23C50DBF"/>
    <w:rsid w:val="2D8D3ECA"/>
    <w:rsid w:val="2DFD4BAB"/>
    <w:rsid w:val="324C7EAF"/>
    <w:rsid w:val="33615BDC"/>
    <w:rsid w:val="34C13400"/>
    <w:rsid w:val="3A2F2590"/>
    <w:rsid w:val="3C3025F0"/>
    <w:rsid w:val="3C653695"/>
    <w:rsid w:val="42116A20"/>
    <w:rsid w:val="46513173"/>
    <w:rsid w:val="497E053E"/>
    <w:rsid w:val="4B1B26BD"/>
    <w:rsid w:val="4BA7392F"/>
    <w:rsid w:val="4DA83CD3"/>
    <w:rsid w:val="50357D7D"/>
    <w:rsid w:val="51F74418"/>
    <w:rsid w:val="535A34A8"/>
    <w:rsid w:val="53DF18A3"/>
    <w:rsid w:val="566D6636"/>
    <w:rsid w:val="572A5AD4"/>
    <w:rsid w:val="57F8000E"/>
    <w:rsid w:val="5CCF0D77"/>
    <w:rsid w:val="619E38D7"/>
    <w:rsid w:val="62BD348D"/>
    <w:rsid w:val="657666C0"/>
    <w:rsid w:val="684A0014"/>
    <w:rsid w:val="69C75A92"/>
    <w:rsid w:val="6BC6077A"/>
    <w:rsid w:val="6C165D02"/>
    <w:rsid w:val="6CF12BBF"/>
    <w:rsid w:val="6D5C4743"/>
    <w:rsid w:val="6FB16FC8"/>
    <w:rsid w:val="721970A7"/>
    <w:rsid w:val="726245AA"/>
    <w:rsid w:val="728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autoRedefine/>
    <w:semiHidden/>
    <w:unhideWhenUsed/>
    <w:qFormat/>
    <w:uiPriority w:val="0"/>
    <w:rPr>
      <w:rFonts w:ascii="Arial" w:hAnsi="Arial" w:eastAsia="黑体"/>
      <w:sz w:val="20"/>
    </w:r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autoRedefine/>
    <w:qFormat/>
    <w:uiPriority w:val="0"/>
    <w:rPr>
      <w:color w:val="0000FF"/>
      <w:u w:val="single"/>
    </w:rPr>
  </w:style>
  <w:style w:type="character" w:styleId="10">
    <w:name w:val="annotation reference"/>
    <w:basedOn w:val="8"/>
    <w:autoRedefine/>
    <w:qFormat/>
    <w:uiPriority w:val="0"/>
    <w:rPr>
      <w:sz w:val="21"/>
      <w:szCs w:val="21"/>
    </w:rPr>
  </w:style>
  <w:style w:type="paragraph" w:customStyle="1" w:styleId="11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2">
    <w:name w:val="WPSOffice手动目录 2"/>
    <w:autoRedefine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">
    <w:name w:val="Table Paragraph"/>
    <w:basedOn w:val="1"/>
    <w:autoRedefine/>
    <w:qFormat/>
    <w:uiPriority w:val="1"/>
    <w:pPr>
      <w:jc w:val="left"/>
    </w:pPr>
    <w:rPr>
      <w:rFonts w:ascii="Calibri" w:hAnsi="Calibri" w:eastAsia="宋体" w:cs="Times New Roman"/>
      <w:kern w:val="0"/>
      <w:sz w:val="22"/>
      <w:szCs w:val="22"/>
      <w:lang w:eastAsia="en-US"/>
    </w:rPr>
  </w:style>
  <w:style w:type="character" w:customStyle="1" w:styleId="14">
    <w:name w:val="页眉 Char"/>
    <w:basedOn w:val="8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Char"/>
    <w:basedOn w:val="8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6">
    <w:name w:val="表内容"/>
    <w:basedOn w:val="17"/>
    <w:qFormat/>
    <w:uiPriority w:val="0"/>
    <w:pPr>
      <w:spacing w:line="240" w:lineRule="exact"/>
      <w:ind w:firstLine="100" w:firstLineChars="100"/>
    </w:pPr>
    <w:rPr>
      <w:rFonts w:eastAsia="方正书宋简体"/>
      <w:sz w:val="21"/>
      <w:szCs w:val="21"/>
    </w:rPr>
  </w:style>
  <w:style w:type="paragraph" w:customStyle="1" w:styleId="17">
    <w:name w:val="附件"/>
    <w:basedOn w:val="1"/>
    <w:qFormat/>
    <w:uiPriority w:val="0"/>
    <w:pPr>
      <w:ind w:firstLine="0" w:firstLineChars="0"/>
    </w:pPr>
    <w:rPr>
      <w:rFonts w:eastAsia="方正黑体简体"/>
      <w:sz w:val="28"/>
      <w:szCs w:val="28"/>
    </w:rPr>
  </w:style>
  <w:style w:type="paragraph" w:customStyle="1" w:styleId="18">
    <w:name w:val="表内容行距"/>
    <w:basedOn w:val="16"/>
    <w:autoRedefine/>
    <w:qFormat/>
    <w:uiPriority w:val="0"/>
    <w:pPr>
      <w:spacing w:line="340" w:lineRule="exac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41897-E4F9-42A0-A1DD-52F44938EE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5168</Words>
  <Characters>5228</Characters>
  <Lines>30</Lines>
  <Paragraphs>8</Paragraphs>
  <TotalTime>6</TotalTime>
  <ScaleCrop>false</ScaleCrop>
  <LinksUpToDate>false</LinksUpToDate>
  <CharactersWithSpaces>5320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2023-11-13T00:59:00Z</dcterms:created>
  <dc:creator>CMQ</dc:creator>
  <cp:lastModifiedBy>无忧草</cp:lastModifiedBy>
  <dcterms:modified xsi:type="dcterms:W3CDTF">2024-07-09T08:17:41Z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5AFF77859E0B47BBAB0EC90C2D7CFFC9_11</vt:lpwstr>
  </property>
</Properties>
</file>