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615718">
      <w:pPr>
        <w:spacing w:before="3120" w:beforeLines="1000"/>
        <w:jc w:val="center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《</w:t>
      </w:r>
      <w:r>
        <w:rPr>
          <w:rFonts w:hint="default" w:ascii="宋体" w:hAnsi="宋体" w:eastAsia="宋体" w:cs="宋体"/>
          <w:b/>
          <w:bCs/>
          <w:sz w:val="52"/>
          <w:szCs w:val="52"/>
        </w:rPr>
        <w:t>数控加工技术</w:t>
      </w:r>
      <w:r>
        <w:rPr>
          <w:rFonts w:hint="eastAsia" w:ascii="宋体" w:hAnsi="宋体" w:eastAsia="宋体" w:cs="宋体"/>
          <w:b/>
          <w:bCs/>
          <w:sz w:val="52"/>
          <w:szCs w:val="52"/>
        </w:rPr>
        <w:t>》</w:t>
      </w:r>
    </w:p>
    <w:p w14:paraId="2D826B30">
      <w:pPr>
        <w:jc w:val="center"/>
        <w:rPr>
          <w:rFonts w:ascii="宋体" w:hAnsi="宋体" w:eastAsia="宋体" w:cs="宋体"/>
          <w:b/>
          <w:bCs/>
          <w:sz w:val="52"/>
          <w:szCs w:val="52"/>
        </w:rPr>
      </w:pPr>
      <w:r>
        <w:rPr>
          <w:rFonts w:hint="eastAsia" w:ascii="宋体" w:hAnsi="宋体" w:eastAsia="宋体" w:cs="宋体"/>
          <w:b/>
          <w:bCs/>
          <w:sz w:val="52"/>
          <w:szCs w:val="52"/>
        </w:rPr>
        <w:t>课程标准</w:t>
      </w:r>
    </w:p>
    <w:p w14:paraId="6789BEF8">
      <w:pPr>
        <w:spacing w:before="4680" w:beforeLines="1500"/>
        <w:ind w:firstLine="1950" w:firstLineChars="650"/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</w:pPr>
      <w:r>
        <w:rPr>
          <w:rFonts w:hint="eastAsia" w:ascii="黑体" w:hAnsi="黑体" w:eastAsia="黑体" w:cs="黑体"/>
          <w:sz w:val="30"/>
          <w:szCs w:val="30"/>
        </w:rPr>
        <w:t>课程性质：</w:t>
      </w:r>
      <w:r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  <w:t xml:space="preserve">  </w:t>
      </w:r>
      <w:r>
        <w:rPr>
          <w:rFonts w:hint="eastAsia" w:ascii="黑体" w:hAnsi="黑体" w:eastAsia="黑体" w:cs="黑体"/>
          <w:sz w:val="30"/>
          <w:szCs w:val="30"/>
          <w:u w:val="single"/>
          <w:lang w:eastAsia="zh-CN"/>
        </w:rPr>
        <w:t>机电技术应用</w:t>
      </w:r>
      <w:r>
        <w:rPr>
          <w:rFonts w:hint="eastAsia" w:ascii="黑体" w:hAnsi="黑体" w:eastAsia="黑体" w:cs="黑体"/>
          <w:sz w:val="30"/>
          <w:szCs w:val="30"/>
          <w:u w:val="single"/>
        </w:rPr>
        <w:t>专业核心课</w:t>
      </w:r>
      <w:r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  <w:t xml:space="preserve"> </w:t>
      </w:r>
    </w:p>
    <w:p w14:paraId="404AA770">
      <w:pPr>
        <w:ind w:firstLine="1950" w:firstLineChars="650"/>
      </w:pPr>
      <w:r>
        <w:rPr>
          <w:rFonts w:hint="eastAsia" w:ascii="黑体" w:hAnsi="黑体" w:eastAsia="黑体" w:cs="黑体"/>
          <w:sz w:val="30"/>
          <w:szCs w:val="30"/>
        </w:rPr>
        <w:t>授课对象：</w:t>
      </w:r>
      <w:r>
        <w:rPr>
          <w:rFonts w:hint="eastAsia" w:ascii="黑体" w:hAnsi="黑体" w:eastAsia="黑体" w:cs="黑体"/>
          <w:sz w:val="30"/>
          <w:szCs w:val="30"/>
          <w:u w:val="single"/>
          <w:lang w:eastAsia="zh-CN"/>
        </w:rPr>
        <w:t>机电技术应用</w:t>
      </w:r>
      <w:r>
        <w:rPr>
          <w:rFonts w:hint="eastAsia" w:ascii="黑体" w:hAnsi="黑体" w:eastAsia="黑体" w:cs="黑体"/>
          <w:sz w:val="28"/>
          <w:szCs w:val="28"/>
          <w:u w:val="single"/>
        </w:rPr>
        <w:t>专业二年级学生</w:t>
      </w:r>
    </w:p>
    <w:p w14:paraId="577AEC73">
      <w:pPr>
        <w:ind w:firstLine="1950" w:firstLineChars="650"/>
        <w:rPr>
          <w:rFonts w:ascii="黑体" w:hAnsi="黑体" w:eastAsia="黑体" w:cs="黑体"/>
          <w:sz w:val="30"/>
          <w:szCs w:val="30"/>
          <w:u w:val="single"/>
        </w:rPr>
      </w:pPr>
      <w:bookmarkStart w:id="0" w:name="_Toc798"/>
      <w:bookmarkStart w:id="1" w:name="_Toc15366"/>
      <w:bookmarkStart w:id="2" w:name="_Toc31554"/>
      <w:bookmarkStart w:id="3" w:name="_Toc14206"/>
      <w:bookmarkStart w:id="4" w:name="_Toc4964"/>
      <w:bookmarkStart w:id="5" w:name="_Toc11884"/>
      <w:r>
        <w:rPr>
          <w:rFonts w:hint="eastAsia" w:ascii="黑体" w:hAnsi="黑体" w:eastAsia="黑体" w:cs="黑体"/>
          <w:sz w:val="30"/>
          <w:szCs w:val="30"/>
        </w:rPr>
        <w:t>课程总学时：</w:t>
      </w:r>
      <w:r>
        <w:rPr>
          <w:rFonts w:hint="eastAsia" w:ascii="黑体" w:hAnsi="黑体" w:eastAsia="黑体" w:cs="黑体"/>
          <w:sz w:val="30"/>
          <w:szCs w:val="30"/>
          <w:u w:val="single"/>
          <w:lang w:val="en-US" w:eastAsia="zh-CN"/>
        </w:rPr>
        <w:t xml:space="preserve">       108</w:t>
      </w:r>
      <w:bookmarkStart w:id="23" w:name="_GoBack"/>
      <w:bookmarkEnd w:id="23"/>
      <w:r>
        <w:rPr>
          <w:rFonts w:hint="eastAsia" w:ascii="黑体" w:hAnsi="黑体" w:eastAsia="黑体" w:cs="黑体"/>
          <w:sz w:val="30"/>
          <w:szCs w:val="30"/>
          <w:u w:val="single"/>
        </w:rPr>
        <w:t>学时</w:t>
      </w:r>
      <w:bookmarkEnd w:id="0"/>
      <w:bookmarkEnd w:id="1"/>
      <w:bookmarkEnd w:id="2"/>
      <w:bookmarkEnd w:id="3"/>
      <w:bookmarkEnd w:id="4"/>
      <w:bookmarkEnd w:id="5"/>
      <w:r>
        <w:rPr>
          <w:rFonts w:hint="eastAsia" w:ascii="黑体" w:hAnsi="黑体" w:eastAsia="黑体" w:cs="黑体"/>
          <w:sz w:val="30"/>
          <w:szCs w:val="30"/>
          <w:u w:val="single"/>
        </w:rPr>
        <w:t xml:space="preserve">      </w:t>
      </w:r>
      <w:r>
        <w:rPr>
          <w:rFonts w:ascii="黑体" w:hAnsi="黑体" w:eastAsia="黑体" w:cs="黑体"/>
          <w:sz w:val="30"/>
          <w:szCs w:val="30"/>
          <w:u w:val="single"/>
        </w:rPr>
        <w:t xml:space="preserve">   </w:t>
      </w:r>
    </w:p>
    <w:p w14:paraId="1DE5D95C">
      <w:pPr>
        <w:rPr>
          <w:rFonts w:ascii="黑体" w:hAnsi="黑体" w:eastAsia="黑体" w:cs="黑体"/>
          <w:sz w:val="30"/>
          <w:szCs w:val="30"/>
          <w:u w:val="single"/>
        </w:rPr>
      </w:pPr>
    </w:p>
    <w:p w14:paraId="35332DCD">
      <w:pPr>
        <w:rPr>
          <w:rFonts w:ascii="黑体" w:hAnsi="黑体" w:eastAsia="黑体" w:cs="黑体"/>
          <w:sz w:val="30"/>
          <w:szCs w:val="30"/>
          <w:u w:val="single"/>
        </w:rPr>
      </w:pPr>
    </w:p>
    <w:p w14:paraId="0157A227">
      <w:pPr>
        <w:rPr>
          <w:rFonts w:ascii="黑体" w:hAnsi="黑体" w:eastAsia="黑体" w:cs="黑体"/>
          <w:sz w:val="30"/>
          <w:szCs w:val="30"/>
          <w:u w:val="single"/>
        </w:rPr>
      </w:pPr>
    </w:p>
    <w:p w14:paraId="31C9C412">
      <w:pPr>
        <w:rPr>
          <w:rFonts w:ascii="黑体" w:hAnsi="黑体" w:eastAsia="黑体" w:cs="黑体"/>
          <w:sz w:val="30"/>
          <w:szCs w:val="30"/>
          <w:u w:val="single"/>
        </w:rPr>
      </w:pPr>
    </w:p>
    <w:p w14:paraId="5DDA462F">
      <w:pPr>
        <w:jc w:val="center"/>
        <w:rPr>
          <w:rFonts w:ascii="宋体" w:hAnsi="宋体" w:eastAsia="宋体"/>
          <w:b/>
          <w:bCs/>
          <w:sz w:val="32"/>
          <w:szCs w:val="3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sdt>
      <w:sdtPr>
        <w:rPr>
          <w:rFonts w:ascii="宋体" w:hAnsi="宋体" w:eastAsia="宋体"/>
          <w:b/>
          <w:bCs/>
          <w:sz w:val="32"/>
          <w:szCs w:val="32"/>
        </w:rPr>
        <w:id w:val="147475104"/>
        <w:docPartObj>
          <w:docPartGallery w:val="Table of Contents"/>
          <w:docPartUnique/>
        </w:docPartObj>
      </w:sdtPr>
      <w:sdtEndPr>
        <w:rPr>
          <w:rFonts w:ascii="宋体" w:hAnsi="宋体" w:eastAsia="宋体"/>
          <w:b/>
          <w:bCs/>
          <w:sz w:val="32"/>
          <w:szCs w:val="32"/>
        </w:rPr>
      </w:sdtEndPr>
      <w:sdtContent>
        <w:p w14:paraId="1BDD366F">
          <w:pPr>
            <w:jc w:val="center"/>
            <w:rPr>
              <w:b/>
              <w:bCs/>
              <w:sz w:val="32"/>
              <w:szCs w:val="32"/>
            </w:rPr>
          </w:pPr>
          <w:r>
            <w:rPr>
              <w:rFonts w:ascii="宋体" w:hAnsi="宋体" w:eastAsia="宋体"/>
              <w:b/>
              <w:bCs/>
              <w:sz w:val="32"/>
              <w:szCs w:val="32"/>
            </w:rPr>
            <w:t>目</w:t>
          </w:r>
          <w:r>
            <w:rPr>
              <w:rFonts w:hint="eastAsia" w:ascii="宋体" w:hAnsi="宋体" w:eastAsia="宋体"/>
              <w:b/>
              <w:bCs/>
              <w:sz w:val="32"/>
              <w:szCs w:val="32"/>
            </w:rPr>
            <w:t xml:space="preserve">  </w:t>
          </w:r>
          <w:r>
            <w:rPr>
              <w:rFonts w:ascii="宋体" w:hAnsi="宋体" w:eastAsia="宋体"/>
              <w:b/>
              <w:bCs/>
              <w:sz w:val="32"/>
              <w:szCs w:val="32"/>
            </w:rPr>
            <w:t>录</w:t>
          </w:r>
        </w:p>
        <w:p w14:paraId="6D596FD1"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TOC \o "1-2" \h \u </w:instrText>
          </w:r>
          <w:r>
            <w:rPr>
              <w:sz w:val="24"/>
              <w:szCs w:val="24"/>
            </w:rPr>
            <w:fldChar w:fldCharType="separate"/>
          </w:r>
          <w:r>
            <w:fldChar w:fldCharType="begin"/>
          </w:r>
          <w:r>
            <w:instrText xml:space="preserve"> HYPERLINK \l "_Toc30850"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一、课程基本信息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_Toc30850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3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51C7868A"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"_Toc17718"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二、课程性质与任务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_Toc17718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4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46130E75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"_Toc19010"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（一）课程性质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_Toc19010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66061A30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"_Toc1935"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（二）课程任务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_Toc1935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2A69FCFE"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"_Toc139"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三、课程目标与要求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_Toc139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4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2E3DAF5B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"_Toc100"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（一）总体目标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_Toc100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2CFFFE99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"_Toc2077"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（二）具体目标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_Toc2077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4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21C44401"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"_Toc17427"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四、课程结构与内容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_Toc17427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5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4FC8C7B4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"_Toc7169"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（一）课程结构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_Toc7169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5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71C996B0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"_Toc8501"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（二）课程内容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_Toc8501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6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05243E20"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"_Toc6485"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五、学生考核与评价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_Toc6485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7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4B5B75FC"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"_Toc19887"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六、教学实施与保障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_Toc19887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8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23EFF811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"_Toc32416"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（一）教材选用和编写建议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_Toc32416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8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5A4AE00A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"_Toc21827"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（二）课程资源的开发与利用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_Toc21827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8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0A9F3171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"_Toc23207"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（三）教学基本条件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_Toc23207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8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535FE9F5">
          <w:pPr>
            <w:pStyle w:val="12"/>
            <w:tabs>
              <w:tab w:val="right" w:leader="dot" w:pos="8306"/>
            </w:tabs>
            <w:spacing w:before="156" w:beforeLines="50" w:after="156" w:afterLines="50"/>
            <w:ind w:leftChars="0"/>
            <w:jc w:val="both"/>
            <w:rPr>
              <w:sz w:val="24"/>
              <w:szCs w:val="24"/>
            </w:rPr>
          </w:pPr>
          <w:r>
            <w:fldChar w:fldCharType="begin"/>
          </w:r>
          <w:r>
            <w:instrText xml:space="preserve"> HYPERLINK \l "_Toc7550" </w:instrText>
          </w:r>
          <w:r>
            <w:fldChar w:fldCharType="separate"/>
          </w:r>
          <w:r>
            <w:rPr>
              <w:rFonts w:hint="eastAsia" w:ascii="仿宋" w:hAnsi="仿宋" w:eastAsia="仿宋" w:cs="仿宋"/>
              <w:sz w:val="24"/>
              <w:szCs w:val="40"/>
            </w:rPr>
            <w:t>（四）教学建议</w:t>
          </w:r>
          <w:r>
            <w:rPr>
              <w:sz w:val="24"/>
              <w:szCs w:val="24"/>
            </w:rPr>
            <w:tab/>
          </w:r>
          <w:r>
            <w:rPr>
              <w:sz w:val="24"/>
              <w:szCs w:val="24"/>
            </w:rPr>
            <w:fldChar w:fldCharType="begin"/>
          </w:r>
          <w:r>
            <w:rPr>
              <w:sz w:val="24"/>
              <w:szCs w:val="24"/>
            </w:rPr>
            <w:instrText xml:space="preserve"> PAGEREF _Toc7550 \h </w:instrText>
          </w:r>
          <w:r>
            <w:rPr>
              <w:sz w:val="24"/>
              <w:szCs w:val="24"/>
            </w:rPr>
            <w:fldChar w:fldCharType="separate"/>
          </w:r>
          <w:r>
            <w:rPr>
              <w:sz w:val="24"/>
              <w:szCs w:val="24"/>
            </w:rPr>
            <w:t>10</w:t>
          </w:r>
          <w:r>
            <w:rPr>
              <w:sz w:val="24"/>
              <w:szCs w:val="24"/>
            </w:rPr>
            <w:fldChar w:fldCharType="end"/>
          </w:r>
          <w:r>
            <w:rPr>
              <w:sz w:val="24"/>
              <w:szCs w:val="24"/>
            </w:rPr>
            <w:fldChar w:fldCharType="end"/>
          </w:r>
        </w:p>
        <w:p w14:paraId="799195CB">
          <w:pPr>
            <w:pStyle w:val="11"/>
            <w:tabs>
              <w:tab w:val="right" w:leader="dot" w:pos="8306"/>
            </w:tabs>
            <w:spacing w:before="156" w:beforeLines="50" w:after="156" w:afterLines="50"/>
            <w:jc w:val="both"/>
            <w:rPr>
              <w:b/>
              <w:sz w:val="24"/>
              <w:szCs w:val="24"/>
            </w:rPr>
          </w:pPr>
          <w:r>
            <w:fldChar w:fldCharType="begin"/>
          </w:r>
          <w:r>
            <w:instrText xml:space="preserve"> HYPERLINK \l "_Toc20256" </w:instrText>
          </w:r>
          <w:r>
            <w:fldChar w:fldCharType="separate"/>
          </w:r>
          <w:r>
            <w:rPr>
              <w:rFonts w:hint="eastAsia" w:ascii="黑体" w:hAnsi="黑体" w:eastAsia="黑体" w:cs="黑体"/>
              <w:b/>
              <w:sz w:val="24"/>
              <w:szCs w:val="40"/>
            </w:rPr>
            <w:t>七、授课进度与安排</w:t>
          </w:r>
          <w:r>
            <w:rPr>
              <w:b/>
              <w:sz w:val="24"/>
              <w:szCs w:val="24"/>
            </w:rPr>
            <w:tab/>
          </w:r>
          <w:r>
            <w:rPr>
              <w:b/>
              <w:sz w:val="24"/>
              <w:szCs w:val="24"/>
            </w:rPr>
            <w:fldChar w:fldCharType="begin"/>
          </w:r>
          <w:r>
            <w:rPr>
              <w:b/>
              <w:sz w:val="24"/>
              <w:szCs w:val="24"/>
            </w:rPr>
            <w:instrText xml:space="preserve"> PAGEREF _Toc20256 \h </w:instrText>
          </w:r>
          <w:r>
            <w:rPr>
              <w:b/>
              <w:sz w:val="24"/>
              <w:szCs w:val="24"/>
            </w:rPr>
            <w:fldChar w:fldCharType="separate"/>
          </w:r>
          <w:r>
            <w:rPr>
              <w:b/>
              <w:sz w:val="24"/>
              <w:szCs w:val="24"/>
            </w:rPr>
            <w:t>10</w:t>
          </w:r>
          <w:r>
            <w:rPr>
              <w:b/>
              <w:sz w:val="24"/>
              <w:szCs w:val="24"/>
            </w:rPr>
            <w:fldChar w:fldCharType="end"/>
          </w:r>
          <w:r>
            <w:rPr>
              <w:b/>
              <w:sz w:val="24"/>
              <w:szCs w:val="24"/>
            </w:rPr>
            <w:fldChar w:fldCharType="end"/>
          </w:r>
        </w:p>
        <w:p w14:paraId="6569ABBD">
          <w:pPr>
            <w:widowControl/>
            <w:spacing w:before="156" w:beforeLines="50" w:after="156" w:afterLines="50"/>
          </w:pPr>
          <w:r>
            <w:rPr>
              <w:b/>
              <w:sz w:val="24"/>
            </w:rPr>
            <w:fldChar w:fldCharType="end"/>
          </w:r>
        </w:p>
      </w:sdtContent>
    </w:sdt>
    <w:p w14:paraId="03EDD88A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  <w:sectPr>
          <w:footerReference r:id="rId3" w:type="default"/>
          <w:pgSz w:w="11906" w:h="16838"/>
          <w:pgMar w:top="1440" w:right="1800" w:bottom="1440" w:left="1800" w:header="851" w:footer="992" w:gutter="0"/>
          <w:pgNumType w:start="1"/>
          <w:cols w:space="425" w:num="1"/>
          <w:docGrid w:type="lines" w:linePitch="312" w:charSpace="0"/>
        </w:sectPr>
      </w:pPr>
      <w:bookmarkStart w:id="6" w:name="_Toc30850"/>
    </w:p>
    <w:p w14:paraId="679601D9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r>
        <w:rPr>
          <w:rFonts w:hint="eastAsia" w:ascii="黑体" w:hAnsi="黑体" w:eastAsia="黑体" w:cs="黑体"/>
          <w:sz w:val="28"/>
          <w:szCs w:val="28"/>
        </w:rPr>
        <w:t>课程基本信息</w:t>
      </w:r>
      <w:bookmarkEnd w:id="6"/>
    </w:p>
    <w:p w14:paraId="5FA04A22">
      <w:pPr>
        <w:pStyle w:val="2"/>
        <w:jc w:val="center"/>
        <w:rPr>
          <w:rFonts w:ascii="仿宋" w:hAnsi="仿宋" w:eastAsia="仿宋" w:cs="仿宋"/>
          <w:b/>
          <w:bCs/>
          <w:sz w:val="21"/>
          <w:szCs w:val="28"/>
        </w:rPr>
      </w:pP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8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8"/>
        </w:rPr>
        <w:t>1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 课程基本信息一览表</w:t>
      </w:r>
    </w:p>
    <w:tbl>
      <w:tblPr>
        <w:tblStyle w:val="7"/>
        <w:tblW w:w="85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06"/>
        <w:gridCol w:w="590"/>
        <w:gridCol w:w="1970"/>
        <w:gridCol w:w="1640"/>
        <w:gridCol w:w="2750"/>
      </w:tblGrid>
      <w:tr w14:paraId="1F57D4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38708C0C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课程代码</w:t>
            </w:r>
          </w:p>
        </w:tc>
        <w:tc>
          <w:tcPr>
            <w:tcW w:w="2560" w:type="dxa"/>
            <w:gridSpan w:val="2"/>
            <w:vAlign w:val="center"/>
          </w:tcPr>
          <w:p w14:paraId="5300EF7E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640" w:type="dxa"/>
            <w:vAlign w:val="center"/>
          </w:tcPr>
          <w:p w14:paraId="657AFBFC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开课系部</w:t>
            </w:r>
          </w:p>
        </w:tc>
        <w:tc>
          <w:tcPr>
            <w:tcW w:w="2750" w:type="dxa"/>
            <w:vAlign w:val="center"/>
          </w:tcPr>
          <w:p w14:paraId="4D96DD4D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汽车工程系</w:t>
            </w:r>
          </w:p>
        </w:tc>
      </w:tr>
      <w:tr w14:paraId="63921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220683D5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课程名称</w:t>
            </w:r>
          </w:p>
        </w:tc>
        <w:tc>
          <w:tcPr>
            <w:tcW w:w="6950" w:type="dxa"/>
            <w:gridSpan w:val="4"/>
            <w:vAlign w:val="center"/>
          </w:tcPr>
          <w:p w14:paraId="5ECEE6CC">
            <w:pPr>
              <w:spacing w:line="560" w:lineRule="exact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default" w:ascii="仿宋" w:hAnsi="仿宋" w:eastAsia="仿宋" w:cs="仿宋"/>
                <w:b/>
                <w:bCs/>
                <w:szCs w:val="21"/>
              </w:rPr>
              <w:t>数控加工技术</w:t>
            </w:r>
          </w:p>
        </w:tc>
      </w:tr>
      <w:tr w14:paraId="528297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55CBA699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面向专业</w:t>
            </w:r>
          </w:p>
        </w:tc>
        <w:tc>
          <w:tcPr>
            <w:tcW w:w="6950" w:type="dxa"/>
            <w:gridSpan w:val="4"/>
            <w:vAlign w:val="center"/>
          </w:tcPr>
          <w:p w14:paraId="56BF1F9A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机电技术应用、数控技术应用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工业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机器人技术应用</w:t>
            </w:r>
          </w:p>
        </w:tc>
      </w:tr>
      <w:tr w14:paraId="34074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17877AF0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学分</w:t>
            </w:r>
          </w:p>
        </w:tc>
        <w:tc>
          <w:tcPr>
            <w:tcW w:w="2560" w:type="dxa"/>
            <w:gridSpan w:val="2"/>
            <w:vAlign w:val="center"/>
          </w:tcPr>
          <w:p w14:paraId="2E079188">
            <w:pPr>
              <w:spacing w:line="560" w:lineRule="exact"/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6</w:t>
            </w:r>
          </w:p>
        </w:tc>
        <w:tc>
          <w:tcPr>
            <w:tcW w:w="1640" w:type="dxa"/>
            <w:vAlign w:val="center"/>
          </w:tcPr>
          <w:p w14:paraId="7C4A2ADE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总学时</w:t>
            </w:r>
          </w:p>
        </w:tc>
        <w:tc>
          <w:tcPr>
            <w:tcW w:w="2750" w:type="dxa"/>
            <w:vAlign w:val="center"/>
          </w:tcPr>
          <w:p w14:paraId="1D2593FA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120</w:t>
            </w:r>
          </w:p>
        </w:tc>
      </w:tr>
      <w:tr w14:paraId="1F26BF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06" w:type="dxa"/>
            <w:vAlign w:val="center"/>
          </w:tcPr>
          <w:p w14:paraId="7BD485E9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理论学时</w:t>
            </w:r>
          </w:p>
        </w:tc>
        <w:tc>
          <w:tcPr>
            <w:tcW w:w="2560" w:type="dxa"/>
            <w:gridSpan w:val="2"/>
            <w:vAlign w:val="center"/>
          </w:tcPr>
          <w:p w14:paraId="06534C56">
            <w:pPr>
              <w:spacing w:line="560" w:lineRule="exact"/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30</w:t>
            </w:r>
          </w:p>
        </w:tc>
        <w:tc>
          <w:tcPr>
            <w:tcW w:w="1640" w:type="dxa"/>
            <w:vAlign w:val="center"/>
          </w:tcPr>
          <w:p w14:paraId="0CB84015">
            <w:pPr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实践学时</w:t>
            </w:r>
          </w:p>
        </w:tc>
        <w:tc>
          <w:tcPr>
            <w:tcW w:w="2750" w:type="dxa"/>
            <w:vAlign w:val="center"/>
          </w:tcPr>
          <w:p w14:paraId="1A48AAE6">
            <w:pPr>
              <w:spacing w:line="560" w:lineRule="exact"/>
              <w:jc w:val="center"/>
              <w:rPr>
                <w:rFonts w:hint="default" w:ascii="仿宋" w:hAnsi="仿宋" w:eastAsia="仿宋" w:cs="仿宋"/>
                <w:b/>
                <w:bCs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  <w:lang w:val="en-US" w:eastAsia="zh-CN"/>
              </w:rPr>
              <w:t>90</w:t>
            </w:r>
          </w:p>
        </w:tc>
      </w:tr>
      <w:tr w14:paraId="5CEBBB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8556" w:type="dxa"/>
            <w:gridSpan w:val="5"/>
            <w:vAlign w:val="center"/>
          </w:tcPr>
          <w:p w14:paraId="0A30DB3B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Cs w:val="21"/>
                <w:lang w:bidi="ar"/>
              </w:rPr>
              <w:t>本课程与其它课程在知识、技能、素质素养等方面的衔接与融通关系</w:t>
            </w:r>
          </w:p>
        </w:tc>
      </w:tr>
      <w:tr w14:paraId="20404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gridSpan w:val="2"/>
            <w:vAlign w:val="center"/>
          </w:tcPr>
          <w:p w14:paraId="00BE7F1D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编制人</w:t>
            </w:r>
          </w:p>
        </w:tc>
        <w:tc>
          <w:tcPr>
            <w:tcW w:w="6360" w:type="dxa"/>
            <w:gridSpan w:val="3"/>
            <w:vAlign w:val="center"/>
          </w:tcPr>
          <w:p w14:paraId="3CA64781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73618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gridSpan w:val="2"/>
          </w:tcPr>
          <w:p w14:paraId="567392C3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审定人</w:t>
            </w:r>
          </w:p>
        </w:tc>
        <w:tc>
          <w:tcPr>
            <w:tcW w:w="6360" w:type="dxa"/>
            <w:gridSpan w:val="3"/>
          </w:tcPr>
          <w:p w14:paraId="1B819407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6F2A26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gridSpan w:val="2"/>
          </w:tcPr>
          <w:p w14:paraId="2AF876CD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批准日期</w:t>
            </w:r>
          </w:p>
        </w:tc>
        <w:tc>
          <w:tcPr>
            <w:tcW w:w="6360" w:type="dxa"/>
            <w:gridSpan w:val="3"/>
          </w:tcPr>
          <w:p w14:paraId="1786C7A6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  <w:tr w14:paraId="5A8019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196" w:type="dxa"/>
            <w:gridSpan w:val="2"/>
          </w:tcPr>
          <w:p w14:paraId="45FDB151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修订日期</w:t>
            </w:r>
          </w:p>
        </w:tc>
        <w:tc>
          <w:tcPr>
            <w:tcW w:w="6360" w:type="dxa"/>
            <w:gridSpan w:val="3"/>
          </w:tcPr>
          <w:p w14:paraId="5700E73A">
            <w:pPr>
              <w:widowControl/>
              <w:spacing w:line="560" w:lineRule="exact"/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</w:tr>
    </w:tbl>
    <w:p w14:paraId="3D0D7909">
      <w:pPr>
        <w:ind w:left="420"/>
        <w:outlineLvl w:val="0"/>
        <w:rPr>
          <w:rFonts w:ascii="黑体" w:hAnsi="黑体" w:eastAsia="黑体" w:cs="黑体"/>
          <w:sz w:val="30"/>
          <w:szCs w:val="30"/>
        </w:rPr>
      </w:pPr>
    </w:p>
    <w:p w14:paraId="76B47A9E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7" w:name="_Toc17718"/>
      <w:r>
        <w:rPr>
          <w:rFonts w:hint="eastAsia" w:ascii="黑体" w:hAnsi="黑体" w:eastAsia="黑体" w:cs="黑体"/>
          <w:sz w:val="28"/>
          <w:szCs w:val="28"/>
        </w:rPr>
        <w:t>课程性质与任务</w:t>
      </w:r>
      <w:bookmarkEnd w:id="7"/>
    </w:p>
    <w:p w14:paraId="71726A4D">
      <w:pPr>
        <w:numPr>
          <w:ilvl w:val="0"/>
          <w:numId w:val="2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8" w:name="_Toc19010"/>
      <w:r>
        <w:rPr>
          <w:rFonts w:hint="eastAsia" w:ascii="楷体" w:hAnsi="楷体" w:eastAsia="楷体" w:cs="楷体"/>
          <w:sz w:val="28"/>
          <w:szCs w:val="28"/>
        </w:rPr>
        <w:t>课程性质</w:t>
      </w:r>
      <w:bookmarkEnd w:id="8"/>
    </w:p>
    <w:p w14:paraId="296E7381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本课程是中职机电技术应用专业的一门专业核心课程。</w:t>
      </w:r>
    </w:p>
    <w:p w14:paraId="3FAB9C5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val="en-US" w:eastAsia="zh-CN"/>
        </w:rPr>
      </w:pPr>
      <w:r>
        <w:rPr>
          <w:rFonts w:hint="eastAsia" w:ascii="仿宋" w:hAnsi="仿宋" w:eastAsia="仿宋" w:cs="仿宋"/>
          <w:sz w:val="24"/>
        </w:rPr>
        <w:t>本课程开设在第</w:t>
      </w:r>
      <w:r>
        <w:rPr>
          <w:rFonts w:hint="eastAsia" w:ascii="仿宋" w:hAnsi="仿宋" w:eastAsia="仿宋" w:cs="仿宋"/>
          <w:sz w:val="24"/>
          <w:lang w:eastAsia="zh-CN"/>
        </w:rPr>
        <w:t>五</w:t>
      </w:r>
      <w:r>
        <w:rPr>
          <w:rFonts w:hint="eastAsia" w:ascii="仿宋" w:hAnsi="仿宋" w:eastAsia="仿宋" w:cs="仿宋"/>
          <w:sz w:val="24"/>
        </w:rPr>
        <w:t>学期，</w:t>
      </w:r>
      <w:r>
        <w:rPr>
          <w:rFonts w:hint="eastAsia" w:ascii="仿宋" w:hAnsi="仿宋" w:eastAsia="仿宋" w:cs="仿宋"/>
          <w:sz w:val="24"/>
          <w:lang w:eastAsia="zh-CN"/>
        </w:rPr>
        <w:t>前置</w:t>
      </w:r>
      <w:r>
        <w:rPr>
          <w:rFonts w:hint="eastAsia" w:ascii="仿宋" w:hAnsi="仿宋" w:eastAsia="仿宋" w:cs="仿宋"/>
          <w:sz w:val="24"/>
        </w:rPr>
        <w:t>课程有：</w:t>
      </w:r>
      <w:r>
        <w:rPr>
          <w:rFonts w:hint="eastAsia" w:ascii="仿宋" w:hAnsi="仿宋" w:eastAsia="仿宋" w:cs="仿宋"/>
          <w:sz w:val="24"/>
          <w:lang w:eastAsia="zh-CN"/>
        </w:rPr>
        <w:t>《机械制图》、《机械</w:t>
      </w:r>
      <w:r>
        <w:rPr>
          <w:rFonts w:hint="eastAsia" w:ascii="仿宋" w:hAnsi="仿宋" w:eastAsia="仿宋" w:cs="仿宋"/>
          <w:sz w:val="24"/>
          <w:lang w:val="en-US" w:eastAsia="zh-CN"/>
        </w:rPr>
        <w:t>CAD</w:t>
      </w:r>
      <w:r>
        <w:rPr>
          <w:rFonts w:hint="eastAsia" w:ascii="仿宋" w:hAnsi="仿宋" w:eastAsia="仿宋" w:cs="仿宋"/>
          <w:sz w:val="24"/>
          <w:lang w:eastAsia="zh-CN"/>
        </w:rPr>
        <w:t>》、《车工工艺与技能训练》</w:t>
      </w:r>
      <w:r>
        <w:rPr>
          <w:rFonts w:hint="eastAsia" w:ascii="仿宋" w:hAnsi="仿宋" w:eastAsia="仿宋" w:cs="仿宋"/>
          <w:sz w:val="24"/>
        </w:rPr>
        <w:t>等,并行课程有：</w:t>
      </w:r>
      <w:r>
        <w:rPr>
          <w:rFonts w:hint="eastAsia" w:ascii="仿宋" w:hAnsi="仿宋" w:eastAsia="仿宋" w:cs="仿宋"/>
          <w:sz w:val="24"/>
          <w:lang w:eastAsia="zh-CN"/>
        </w:rPr>
        <w:t>《</w:t>
      </w:r>
      <w:r>
        <w:rPr>
          <w:rFonts w:hint="default" w:ascii="仿宋" w:hAnsi="仿宋" w:eastAsia="仿宋" w:cs="仿宋"/>
          <w:sz w:val="24"/>
        </w:rPr>
        <w:t>机床电气维修</w:t>
      </w:r>
      <w:r>
        <w:rPr>
          <w:rFonts w:hint="eastAsia" w:ascii="仿宋" w:hAnsi="仿宋" w:eastAsia="仿宋" w:cs="仿宋"/>
          <w:sz w:val="24"/>
          <w:lang w:eastAsia="zh-CN"/>
        </w:rPr>
        <w:t>》</w:t>
      </w:r>
      <w:r>
        <w:rPr>
          <w:rFonts w:hint="eastAsia" w:ascii="仿宋" w:hAnsi="仿宋" w:eastAsia="仿宋" w:cs="仿宋"/>
          <w:sz w:val="24"/>
        </w:rPr>
        <w:t>。</w:t>
      </w:r>
      <w:r>
        <w:rPr>
          <w:rFonts w:hint="eastAsia" w:ascii="仿宋" w:hAnsi="仿宋" w:eastAsia="仿宋" w:cs="仿宋"/>
          <w:sz w:val="24"/>
          <w:lang w:val="en-US" w:eastAsia="zh-CN"/>
        </w:rPr>
        <w:t xml:space="preserve"> </w:t>
      </w:r>
    </w:p>
    <w:p w14:paraId="3AC57905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该课程培养学生掌握数控</w:t>
      </w:r>
      <w:r>
        <w:rPr>
          <w:rFonts w:hint="eastAsia" w:ascii="仿宋" w:hAnsi="仿宋" w:eastAsia="仿宋" w:cs="仿宋"/>
          <w:sz w:val="24"/>
          <w:lang w:eastAsia="zh-CN"/>
        </w:rPr>
        <w:t>编程与</w:t>
      </w:r>
      <w:r>
        <w:rPr>
          <w:rFonts w:hint="eastAsia" w:ascii="仿宋" w:hAnsi="仿宋" w:eastAsia="仿宋" w:cs="仿宋"/>
          <w:sz w:val="24"/>
        </w:rPr>
        <w:t>加工技术，适应数控加工岗位能力的要求。</w:t>
      </w:r>
    </w:p>
    <w:p w14:paraId="53FD3991">
      <w:pPr>
        <w:numPr>
          <w:ilvl w:val="0"/>
          <w:numId w:val="2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9" w:name="_Toc1935"/>
      <w:r>
        <w:rPr>
          <w:rFonts w:hint="eastAsia" w:ascii="楷体" w:hAnsi="楷体" w:eastAsia="楷体" w:cs="楷体"/>
          <w:sz w:val="28"/>
          <w:szCs w:val="28"/>
        </w:rPr>
        <w:t>课程任务</w:t>
      </w:r>
      <w:bookmarkEnd w:id="9"/>
    </w:p>
    <w:p w14:paraId="77CE901B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全面培养学生的职业能力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  <w:r>
        <w:rPr>
          <w:rFonts w:hint="eastAsia" w:ascii="仿宋" w:hAnsi="仿宋" w:eastAsia="仿宋" w:cs="仿宋"/>
          <w:sz w:val="24"/>
        </w:rPr>
        <w:t>是学习数控机床的工艺范围，使学生会根据零件工艺特点选用数控机床类型及规格，制定零件装夹方案和数控加工顺序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  <w:r>
        <w:rPr>
          <w:rFonts w:hint="eastAsia" w:ascii="仿宋" w:hAnsi="仿宋" w:eastAsia="仿宋" w:cs="仿宋"/>
          <w:sz w:val="24"/>
        </w:rPr>
        <w:t>学习数控机床工具系统知识，使学生会查阅数控机床刀具样本，组装和调整刀具组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  <w:r>
        <w:rPr>
          <w:rFonts w:hint="eastAsia" w:ascii="仿宋" w:hAnsi="仿宋" w:eastAsia="仿宋" w:cs="仿宋"/>
          <w:sz w:val="24"/>
        </w:rPr>
        <w:t>系统学习典型系统数控机床的编程知识，使学生能熟练编制中等复杂零件的数控加工程序。</w:t>
      </w:r>
    </w:p>
    <w:p w14:paraId="3B007DAD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0" w:name="_Toc139"/>
      <w:r>
        <w:rPr>
          <w:rFonts w:hint="eastAsia" w:ascii="黑体" w:hAnsi="黑体" w:eastAsia="黑体" w:cs="黑体"/>
          <w:sz w:val="28"/>
          <w:szCs w:val="28"/>
        </w:rPr>
        <w:t>课程目标与要求</w:t>
      </w:r>
      <w:bookmarkEnd w:id="10"/>
    </w:p>
    <w:p w14:paraId="5509F0DC">
      <w:pPr>
        <w:numPr>
          <w:ilvl w:val="0"/>
          <w:numId w:val="3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1" w:name="_Toc100"/>
      <w:r>
        <w:rPr>
          <w:rFonts w:hint="eastAsia" w:ascii="楷体" w:hAnsi="楷体" w:eastAsia="楷体" w:cs="楷体"/>
          <w:sz w:val="28"/>
          <w:szCs w:val="28"/>
        </w:rPr>
        <w:t>总体目标</w:t>
      </w:r>
      <w:bookmarkEnd w:id="11"/>
    </w:p>
    <w:p w14:paraId="30F44052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通过本课程的学习，使学生了解数控加工技术领域专业知识，具备选用数控机床、选用工具系统、编制典型系统数控机床加工中等复杂零件数控程序、检验和校对程序等实际工作能力，为学生未来从事数控加工技术方面的实际工作或拓展专业范围、创新工作奠定基础，并初步形成良好的职业习惯和职业道德。</w:t>
      </w:r>
    </w:p>
    <w:p w14:paraId="04361C33">
      <w:pPr>
        <w:numPr>
          <w:ilvl w:val="0"/>
          <w:numId w:val="3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2" w:name="_Toc2077"/>
      <w:r>
        <w:rPr>
          <w:rFonts w:hint="eastAsia" w:ascii="楷体" w:hAnsi="楷体" w:eastAsia="楷体" w:cs="楷体"/>
          <w:sz w:val="28"/>
          <w:szCs w:val="28"/>
        </w:rPr>
        <w:t>具体目标</w:t>
      </w:r>
      <w:bookmarkEnd w:id="12"/>
    </w:p>
    <w:p w14:paraId="5BF323F4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1.素质目标</w:t>
      </w:r>
    </w:p>
    <w:p w14:paraId="021E1DCB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（1）养成良好的职业素养和职业道德；</w:t>
      </w:r>
    </w:p>
    <w:p w14:paraId="4FC47057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（2）养成6s标准工作的良好习惯；</w:t>
      </w:r>
    </w:p>
    <w:p w14:paraId="42F22905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（3）养成良好的团队合作习惯，培养创新能力和职业素养；</w:t>
      </w:r>
    </w:p>
    <w:p w14:paraId="6E127DDB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（4）养成良好的规范意思和安全意识，培养精益求精的工匠精神。</w:t>
      </w:r>
    </w:p>
    <w:p w14:paraId="7D432E07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2.知识目标</w:t>
      </w:r>
    </w:p>
    <w:p w14:paraId="79E0B2F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（1）了解数控</w:t>
      </w:r>
      <w:r>
        <w:rPr>
          <w:rFonts w:hint="eastAsia" w:ascii="仿宋" w:hAnsi="仿宋" w:eastAsia="仿宋" w:cs="仿宋"/>
          <w:sz w:val="24"/>
          <w:lang w:eastAsia="zh-CN"/>
        </w:rPr>
        <w:t>车</w:t>
      </w:r>
      <w:r>
        <w:rPr>
          <w:rFonts w:hint="eastAsia" w:ascii="仿宋" w:hAnsi="仿宋" w:eastAsia="仿宋" w:cs="仿宋"/>
          <w:sz w:val="24"/>
        </w:rPr>
        <w:t>床的常用夹具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</w:p>
    <w:p w14:paraId="7AC999B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</w:rPr>
        <w:t>）掌握数控</w:t>
      </w:r>
      <w:r>
        <w:rPr>
          <w:rFonts w:hint="eastAsia" w:ascii="仿宋" w:hAnsi="仿宋" w:eastAsia="仿宋" w:cs="仿宋"/>
          <w:sz w:val="24"/>
          <w:lang w:eastAsia="zh-CN"/>
        </w:rPr>
        <w:t>车</w:t>
      </w:r>
      <w:r>
        <w:rPr>
          <w:rFonts w:hint="eastAsia" w:ascii="仿宋" w:hAnsi="仿宋" w:eastAsia="仿宋" w:cs="仿宋"/>
          <w:sz w:val="24"/>
        </w:rPr>
        <w:t>床的基本加工方法;</w:t>
      </w:r>
    </w:p>
    <w:p w14:paraId="358524F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掌握数控</w:t>
      </w:r>
      <w:r>
        <w:rPr>
          <w:rFonts w:hint="eastAsia" w:ascii="仿宋" w:hAnsi="仿宋" w:eastAsia="仿宋" w:cs="仿宋"/>
          <w:sz w:val="24"/>
          <w:lang w:eastAsia="zh-CN"/>
        </w:rPr>
        <w:t>车床的常用指令及使用方法</w:t>
      </w:r>
      <w:r>
        <w:rPr>
          <w:rFonts w:hint="eastAsia" w:ascii="仿宋" w:hAnsi="仿宋" w:eastAsia="仿宋" w:cs="仿宋"/>
          <w:sz w:val="24"/>
        </w:rPr>
        <w:t>;</w:t>
      </w:r>
    </w:p>
    <w:p w14:paraId="7331FCF6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lang w:eastAsia="zh-CN"/>
        </w:rPr>
        <w:t>）掌握零件的</w:t>
      </w:r>
      <w:r>
        <w:rPr>
          <w:rFonts w:hint="eastAsia" w:ascii="仿宋" w:hAnsi="仿宋" w:eastAsia="仿宋" w:cs="仿宋"/>
          <w:sz w:val="24"/>
        </w:rPr>
        <w:t>加工精度和表面质量的检测方法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 w14:paraId="3A8BEC3C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3.能力目标</w:t>
      </w:r>
    </w:p>
    <w:p w14:paraId="6DF99674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（1）</w:t>
      </w:r>
      <w:r>
        <w:rPr>
          <w:rFonts w:hint="eastAsia" w:ascii="仿宋" w:hAnsi="仿宋" w:eastAsia="仿宋" w:cs="仿宋"/>
          <w:sz w:val="24"/>
          <w:lang w:eastAsia="zh-CN"/>
        </w:rPr>
        <w:t>会</w:t>
      </w:r>
      <w:r>
        <w:rPr>
          <w:rFonts w:hint="eastAsia" w:ascii="仿宋" w:hAnsi="仿宋" w:eastAsia="仿宋" w:cs="仿宋"/>
          <w:sz w:val="24"/>
        </w:rPr>
        <w:t>对数控机床进行日常维护保养;</w:t>
      </w:r>
    </w:p>
    <w:p w14:paraId="331335FD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（</w:t>
      </w:r>
      <w:r>
        <w:rPr>
          <w:rFonts w:ascii="仿宋" w:hAnsi="仿宋" w:eastAsia="仿宋" w:cs="仿宋"/>
          <w:sz w:val="24"/>
        </w:rPr>
        <w:t>2</w:t>
      </w:r>
      <w:r>
        <w:rPr>
          <w:rFonts w:hint="eastAsia" w:ascii="仿宋" w:hAnsi="仿宋" w:eastAsia="仿宋" w:cs="仿宋"/>
          <w:sz w:val="24"/>
        </w:rPr>
        <w:t>）能根据</w:t>
      </w:r>
      <w:r>
        <w:rPr>
          <w:rFonts w:hint="eastAsia" w:ascii="仿宋" w:hAnsi="仿宋" w:eastAsia="仿宋" w:cs="仿宋"/>
          <w:sz w:val="24"/>
          <w:lang w:eastAsia="zh-CN"/>
        </w:rPr>
        <w:t>图样</w:t>
      </w:r>
      <w:r>
        <w:rPr>
          <w:rFonts w:hint="eastAsia" w:ascii="仿宋" w:hAnsi="仿宋" w:eastAsia="仿宋" w:cs="仿宋"/>
          <w:sz w:val="24"/>
        </w:rPr>
        <w:t>正确选用刀具、</w:t>
      </w:r>
      <w:r>
        <w:rPr>
          <w:rFonts w:hint="eastAsia" w:ascii="仿宋" w:hAnsi="仿宋" w:eastAsia="仿宋" w:cs="仿宋"/>
          <w:sz w:val="24"/>
          <w:lang w:eastAsia="zh-CN"/>
        </w:rPr>
        <w:t>量具及</w:t>
      </w:r>
      <w:r>
        <w:rPr>
          <w:rFonts w:hint="eastAsia" w:ascii="仿宋" w:hAnsi="仿宋" w:eastAsia="仿宋" w:cs="仿宋"/>
          <w:sz w:val="24"/>
        </w:rPr>
        <w:t>加工</w:t>
      </w:r>
      <w:r>
        <w:rPr>
          <w:rFonts w:hint="eastAsia" w:ascii="仿宋" w:hAnsi="仿宋" w:eastAsia="仿宋" w:cs="仿宋"/>
          <w:sz w:val="24"/>
          <w:lang w:eastAsia="zh-CN"/>
        </w:rPr>
        <w:t>方法；</w:t>
      </w:r>
    </w:p>
    <w:p w14:paraId="29801973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3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能根据</w:t>
      </w:r>
      <w:r>
        <w:rPr>
          <w:rFonts w:hint="eastAsia" w:ascii="仿宋" w:hAnsi="仿宋" w:eastAsia="仿宋" w:cs="仿宋"/>
          <w:sz w:val="24"/>
          <w:lang w:eastAsia="zh-CN"/>
        </w:rPr>
        <w:t>图样编写</w:t>
      </w:r>
      <w:r>
        <w:rPr>
          <w:rFonts w:hint="eastAsia" w:ascii="仿宋" w:hAnsi="仿宋" w:eastAsia="仿宋" w:cs="仿宋"/>
          <w:sz w:val="24"/>
        </w:rPr>
        <w:t>加工工艺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</w:p>
    <w:p w14:paraId="631FA9AF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4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能根据图样要求编写加工程序</w:t>
      </w:r>
      <w:r>
        <w:rPr>
          <w:rFonts w:hint="eastAsia" w:ascii="仿宋" w:hAnsi="仿宋" w:eastAsia="仿宋" w:cs="仿宋"/>
          <w:sz w:val="24"/>
          <w:lang w:eastAsia="zh-CN"/>
        </w:rPr>
        <w:t>；</w:t>
      </w:r>
    </w:p>
    <w:p w14:paraId="354EA31E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  <w:lang w:eastAsia="zh-CN"/>
        </w:rPr>
        <w:t>（</w:t>
      </w:r>
      <w:r>
        <w:rPr>
          <w:rFonts w:hint="eastAsia" w:ascii="仿宋" w:hAnsi="仿宋" w:eastAsia="仿宋" w:cs="仿宋"/>
          <w:sz w:val="24"/>
          <w:lang w:val="en-US" w:eastAsia="zh-CN"/>
        </w:rPr>
        <w:t>5</w:t>
      </w:r>
      <w:r>
        <w:rPr>
          <w:rFonts w:hint="eastAsia" w:ascii="仿宋" w:hAnsi="仿宋" w:eastAsia="仿宋" w:cs="仿宋"/>
          <w:sz w:val="24"/>
          <w:lang w:eastAsia="zh-CN"/>
        </w:rPr>
        <w:t>）</w:t>
      </w:r>
      <w:r>
        <w:rPr>
          <w:rFonts w:hint="eastAsia" w:ascii="仿宋" w:hAnsi="仿宋" w:eastAsia="仿宋" w:cs="仿宋"/>
          <w:sz w:val="24"/>
        </w:rPr>
        <w:t>能独立完成零件的数控车削加工</w:t>
      </w:r>
      <w:r>
        <w:rPr>
          <w:rFonts w:hint="eastAsia" w:ascii="仿宋" w:hAnsi="仿宋" w:eastAsia="仿宋" w:cs="仿宋"/>
          <w:sz w:val="24"/>
          <w:lang w:eastAsia="zh-CN"/>
        </w:rPr>
        <w:t>。</w:t>
      </w:r>
    </w:p>
    <w:p w14:paraId="4EC65EF5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3" w:name="_Toc17427"/>
      <w:r>
        <w:rPr>
          <w:rFonts w:hint="eastAsia" w:ascii="黑体" w:hAnsi="黑体" w:eastAsia="黑体" w:cs="黑体"/>
          <w:sz w:val="28"/>
          <w:szCs w:val="28"/>
        </w:rPr>
        <w:t>课程结构与内容</w:t>
      </w:r>
      <w:bookmarkEnd w:id="13"/>
    </w:p>
    <w:p w14:paraId="5141DC79">
      <w:pPr>
        <w:numPr>
          <w:ilvl w:val="0"/>
          <w:numId w:val="4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4" w:name="_Toc7169"/>
      <w:r>
        <w:rPr>
          <w:rFonts w:hint="eastAsia" w:ascii="楷体" w:hAnsi="楷体" w:eastAsia="楷体" w:cs="楷体"/>
          <w:sz w:val="28"/>
          <w:szCs w:val="28"/>
        </w:rPr>
        <w:t>课程结构</w:t>
      </w:r>
      <w:bookmarkEnd w:id="14"/>
    </w:p>
    <w:p w14:paraId="2710C4AB">
      <w:pPr>
        <w:spacing w:line="360" w:lineRule="auto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依据</w:t>
      </w:r>
      <w:r>
        <w:rPr>
          <w:rFonts w:hint="eastAsia" w:ascii="仿宋" w:hAnsi="仿宋" w:eastAsia="仿宋" w:cs="仿宋"/>
          <w:sz w:val="24"/>
          <w:lang w:eastAsia="zh-CN"/>
        </w:rPr>
        <w:t>数控加工</w:t>
      </w:r>
      <w:r>
        <w:rPr>
          <w:rFonts w:hint="eastAsia" w:ascii="仿宋" w:hAnsi="仿宋" w:eastAsia="仿宋" w:cs="仿宋"/>
          <w:sz w:val="24"/>
        </w:rPr>
        <w:t>岗位要求，对接《</w:t>
      </w:r>
      <w:r>
        <w:rPr>
          <w:rFonts w:hint="eastAsia" w:ascii="仿宋" w:hAnsi="仿宋" w:eastAsia="仿宋" w:cs="仿宋"/>
          <w:sz w:val="24"/>
          <w:lang w:eastAsia="zh-CN"/>
        </w:rPr>
        <w:t>车工</w:t>
      </w:r>
      <w:r>
        <w:rPr>
          <w:rFonts w:hint="eastAsia" w:ascii="仿宋" w:hAnsi="仿宋" w:eastAsia="仿宋" w:cs="仿宋"/>
          <w:sz w:val="24"/>
        </w:rPr>
        <w:t>职业技能等级证书》证书体系，融通“岗课证”，将</w:t>
      </w:r>
      <w:r>
        <w:rPr>
          <w:rFonts w:hint="eastAsia" w:ascii="仿宋" w:hAnsi="仿宋" w:eastAsia="仿宋" w:cs="仿宋"/>
          <w:sz w:val="24"/>
          <w:lang w:eastAsia="zh-CN"/>
        </w:rPr>
        <w:t>机电技术应用</w:t>
      </w:r>
      <w:r>
        <w:rPr>
          <w:rFonts w:hint="eastAsia" w:ascii="仿宋" w:hAnsi="仿宋" w:eastAsia="仿宋" w:cs="仿宋"/>
          <w:sz w:val="24"/>
        </w:rPr>
        <w:t>专业核心课程《</w:t>
      </w:r>
      <w:r>
        <w:rPr>
          <w:rFonts w:hint="eastAsia" w:ascii="仿宋" w:hAnsi="仿宋" w:eastAsia="仿宋" w:cs="仿宋"/>
          <w:sz w:val="24"/>
          <w:lang w:eastAsia="zh-CN"/>
        </w:rPr>
        <w:t>数控加工技术</w:t>
      </w:r>
      <w:r>
        <w:rPr>
          <w:rFonts w:hint="eastAsia" w:ascii="仿宋" w:hAnsi="仿宋" w:eastAsia="仿宋" w:cs="仿宋"/>
          <w:sz w:val="24"/>
        </w:rPr>
        <w:t>》重构为三大项目。</w:t>
      </w:r>
    </w:p>
    <w:p w14:paraId="34CA22D9">
      <w:pPr>
        <w:spacing w:line="360" w:lineRule="auto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课程内容遵循</w:t>
      </w:r>
      <w:r>
        <w:rPr>
          <w:rFonts w:hint="eastAsia" w:ascii="仿宋" w:hAnsi="仿宋" w:eastAsia="仿宋" w:cs="仿宋"/>
          <w:sz w:val="24"/>
          <w:lang w:eastAsia="zh-CN"/>
        </w:rPr>
        <w:t>数控车削加工</w:t>
      </w:r>
      <w:r>
        <w:rPr>
          <w:rFonts w:hint="eastAsia" w:ascii="仿宋" w:hAnsi="仿宋" w:eastAsia="仿宋" w:cs="仿宋"/>
          <w:sz w:val="24"/>
        </w:rPr>
        <w:t>施工流程，对接真实工程项目，通过本课程的学习，学生可以掌握</w:t>
      </w:r>
      <w:r>
        <w:rPr>
          <w:rFonts w:hint="eastAsia" w:ascii="仿宋" w:hAnsi="仿宋" w:eastAsia="仿宋" w:cs="仿宋"/>
          <w:sz w:val="24"/>
          <w:lang w:eastAsia="zh-CN"/>
        </w:rPr>
        <w:t>项目实施</w:t>
      </w:r>
      <w:r>
        <w:rPr>
          <w:rFonts w:hint="eastAsia" w:ascii="仿宋" w:hAnsi="仿宋" w:eastAsia="仿宋" w:cs="仿宋"/>
          <w:sz w:val="24"/>
        </w:rPr>
        <w:t>必备理论知识和实践方法。</w:t>
      </w:r>
    </w:p>
    <w:p w14:paraId="5FD024BA">
      <w:pPr>
        <w:numPr>
          <w:ilvl w:val="0"/>
          <w:numId w:val="4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5" w:name="_Toc8501"/>
      <w:r>
        <w:rPr>
          <w:rFonts w:hint="eastAsia" w:ascii="楷体" w:hAnsi="楷体" w:eastAsia="楷体" w:cs="楷体"/>
          <w:sz w:val="28"/>
          <w:szCs w:val="28"/>
        </w:rPr>
        <w:t>课程内容</w:t>
      </w:r>
      <w:bookmarkEnd w:id="15"/>
    </w:p>
    <w:p w14:paraId="658E94A4">
      <w:pPr>
        <w:spacing w:line="360" w:lineRule="auto"/>
        <w:ind w:firstLine="48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本课程总课时为</w:t>
      </w:r>
      <w:r>
        <w:rPr>
          <w:rFonts w:hint="eastAsia" w:ascii="仿宋" w:hAnsi="仿宋" w:eastAsia="仿宋" w:cs="仿宋"/>
          <w:sz w:val="24"/>
          <w:lang w:val="en-US" w:eastAsia="zh-CN"/>
        </w:rPr>
        <w:t>120</w:t>
      </w:r>
      <w:r>
        <w:rPr>
          <w:rFonts w:hint="eastAsia" w:ascii="仿宋" w:hAnsi="仿宋" w:eastAsia="仿宋" w:cs="仿宋"/>
          <w:sz w:val="24"/>
        </w:rPr>
        <w:t>学时、</w:t>
      </w:r>
      <w:r>
        <w:rPr>
          <w:rFonts w:hint="eastAsia" w:ascii="仿宋" w:hAnsi="仿宋" w:eastAsia="仿宋" w:cs="仿宋"/>
          <w:sz w:val="24"/>
          <w:lang w:val="en-US" w:eastAsia="zh-CN"/>
        </w:rPr>
        <w:t>6</w:t>
      </w:r>
      <w:r>
        <w:rPr>
          <w:rFonts w:hint="eastAsia" w:ascii="仿宋" w:hAnsi="仿宋" w:eastAsia="仿宋" w:cs="仿宋"/>
          <w:sz w:val="24"/>
        </w:rPr>
        <w:t>学分，课程内容及教学要求如表2所示。</w:t>
      </w:r>
    </w:p>
    <w:p w14:paraId="7F421C0D">
      <w:pPr>
        <w:spacing w:line="360" w:lineRule="auto"/>
        <w:rPr>
          <w:rFonts w:ascii="仿宋" w:hAnsi="仿宋" w:eastAsia="仿宋" w:cs="仿宋"/>
          <w:sz w:val="24"/>
        </w:rPr>
      </w:pPr>
    </w:p>
    <w:p w14:paraId="08CA7E29">
      <w:pPr>
        <w:pStyle w:val="2"/>
        <w:jc w:val="center"/>
        <w:rPr>
          <w:rFonts w:ascii="仿宋" w:hAnsi="仿宋" w:eastAsia="仿宋" w:cs="仿宋"/>
          <w:b/>
          <w:bCs/>
          <w:sz w:val="21"/>
          <w:szCs w:val="28"/>
        </w:rPr>
      </w:pP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8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8"/>
        </w:rPr>
        <w:t>2</w:t>
      </w:r>
      <w:r>
        <w:rPr>
          <w:rFonts w:hint="eastAsia" w:ascii="仿宋" w:hAnsi="仿宋" w:eastAsia="仿宋" w:cs="仿宋"/>
          <w:b/>
          <w:bCs/>
          <w:sz w:val="21"/>
          <w:szCs w:val="28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8"/>
        </w:rPr>
        <w:t xml:space="preserve"> 课程内容及教学要求</w:t>
      </w:r>
    </w:p>
    <w:tbl>
      <w:tblPr>
        <w:tblStyle w:val="7"/>
        <w:tblW w:w="82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1134"/>
        <w:gridCol w:w="3140"/>
        <w:gridCol w:w="1417"/>
        <w:gridCol w:w="1417"/>
      </w:tblGrid>
      <w:tr w14:paraId="3CF3EA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0B21E442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</w:p>
        </w:tc>
        <w:tc>
          <w:tcPr>
            <w:tcW w:w="1134" w:type="dxa"/>
            <w:vAlign w:val="center"/>
          </w:tcPr>
          <w:p w14:paraId="17BF068E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任务</w:t>
            </w:r>
          </w:p>
        </w:tc>
        <w:tc>
          <w:tcPr>
            <w:tcW w:w="3140" w:type="dxa"/>
            <w:vAlign w:val="center"/>
          </w:tcPr>
          <w:p w14:paraId="6C45420D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教学内容与</w:t>
            </w:r>
          </w:p>
          <w:p w14:paraId="5C0CB4F5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教学要求</w:t>
            </w:r>
          </w:p>
        </w:tc>
        <w:tc>
          <w:tcPr>
            <w:tcW w:w="1417" w:type="dxa"/>
            <w:vAlign w:val="center"/>
          </w:tcPr>
          <w:p w14:paraId="523D2975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1+X证书</w:t>
            </w:r>
          </w:p>
          <w:p w14:paraId="68BE0577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融入</w:t>
            </w:r>
          </w:p>
        </w:tc>
        <w:tc>
          <w:tcPr>
            <w:tcW w:w="1417" w:type="dxa"/>
            <w:vAlign w:val="center"/>
          </w:tcPr>
          <w:p w14:paraId="08EB36D1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思政元素</w:t>
            </w:r>
          </w:p>
        </w:tc>
      </w:tr>
      <w:tr w14:paraId="1368B8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8" w:hRule="atLeast"/>
          <w:jc w:val="center"/>
        </w:trPr>
        <w:tc>
          <w:tcPr>
            <w:tcW w:w="1134" w:type="dxa"/>
            <w:vAlign w:val="center"/>
          </w:tcPr>
          <w:p w14:paraId="502FBDDE">
            <w:pPr>
              <w:rPr>
                <w:rFonts w:ascii="仿宋" w:hAnsi="仿宋" w:eastAsia="仿宋" w:cs="仿宋"/>
                <w:szCs w:val="21"/>
              </w:rPr>
            </w:pPr>
          </w:p>
          <w:p w14:paraId="123BCA65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项目一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数控车床基础</w:t>
            </w:r>
          </w:p>
        </w:tc>
        <w:tc>
          <w:tcPr>
            <w:tcW w:w="1134" w:type="dxa"/>
            <w:vAlign w:val="center"/>
          </w:tcPr>
          <w:p w14:paraId="3F749F0F">
            <w:pPr>
              <w:jc w:val="center"/>
              <w:rPr>
                <w:rFonts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任务一</w:t>
            </w:r>
          </w:p>
          <w:p w14:paraId="51C6BD2D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数控车床基础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知识</w:t>
            </w:r>
          </w:p>
        </w:tc>
        <w:tc>
          <w:tcPr>
            <w:tcW w:w="3140" w:type="dxa"/>
            <w:vAlign w:val="center"/>
          </w:tcPr>
          <w:p w14:paraId="74F03FC2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18883951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Cs w:val="21"/>
              </w:rPr>
              <w:t>数控车床基础知识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4FF43267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2.数控车削加工工艺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3FFD4D02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Cs w:val="21"/>
              </w:rPr>
              <w:t>数控车床常用刀具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。</w:t>
            </w:r>
          </w:p>
          <w:p w14:paraId="339B8AD9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75EAACDA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62870FA2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（1）培养学生的职业素养以及职业道德；</w:t>
            </w:r>
          </w:p>
          <w:p w14:paraId="4BF38D5E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（2）培养学生按 6S (整理、整顿、清扫、清洁、素养、安全)标准工作的良好习惯。</w:t>
            </w:r>
          </w:p>
          <w:p w14:paraId="16EEE4DA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0FCD6524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（1）了解常见数控车床型号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;</w:t>
            </w:r>
          </w:p>
          <w:p w14:paraId="5F761312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）了解</w:t>
            </w:r>
            <w:r>
              <w:rPr>
                <w:rFonts w:hint="eastAsia" w:ascii="仿宋" w:hAnsi="仿宋" w:eastAsia="仿宋" w:cs="仿宋"/>
                <w:szCs w:val="21"/>
              </w:rPr>
              <w:t>数控车削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的</w:t>
            </w:r>
            <w:r>
              <w:rPr>
                <w:rFonts w:hint="eastAsia" w:ascii="仿宋" w:hAnsi="仿宋" w:eastAsia="仿宋" w:cs="仿宋"/>
                <w:szCs w:val="21"/>
              </w:rPr>
              <w:t>常用刀具和切削用量的选择方法。</w:t>
            </w:r>
          </w:p>
          <w:p w14:paraId="4E836534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2E49B141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会对</w:t>
            </w:r>
            <w:r>
              <w:rPr>
                <w:rFonts w:hint="eastAsia" w:ascii="仿宋" w:hAnsi="仿宋" w:eastAsia="仿宋" w:cs="仿宋"/>
                <w:szCs w:val="21"/>
              </w:rPr>
              <w:t>数控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车床进行日常维护保养。</w:t>
            </w:r>
          </w:p>
        </w:tc>
        <w:tc>
          <w:tcPr>
            <w:tcW w:w="1417" w:type="dxa"/>
            <w:vAlign w:val="center"/>
          </w:tcPr>
          <w:p w14:paraId="417EE5F3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53040AAC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认识问题、分析问题、解决问题</w:t>
            </w:r>
          </w:p>
        </w:tc>
      </w:tr>
      <w:tr w14:paraId="205D66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7381C4F8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数控车床编程基础知识</w:t>
            </w:r>
          </w:p>
        </w:tc>
        <w:tc>
          <w:tcPr>
            <w:tcW w:w="1134" w:type="dxa"/>
            <w:vAlign w:val="center"/>
          </w:tcPr>
          <w:p w14:paraId="7FADEB15">
            <w:pPr>
              <w:jc w:val="center"/>
              <w:rPr>
                <w:rFonts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任务一</w:t>
            </w:r>
          </w:p>
          <w:p w14:paraId="0CE32FAB">
            <w:pPr>
              <w:widowControl/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数控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车床编程的基本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知识</w:t>
            </w:r>
          </w:p>
        </w:tc>
        <w:tc>
          <w:tcPr>
            <w:tcW w:w="3140" w:type="dxa"/>
            <w:vAlign w:val="center"/>
          </w:tcPr>
          <w:p w14:paraId="28755365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5D4D4184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Cs w:val="21"/>
              </w:rPr>
              <w:t>数控车床编程基础知识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1E3516F6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2.数控车床编程的常用术语及指令代码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77843761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3.数控车加工程序的格式。</w:t>
            </w:r>
          </w:p>
          <w:p w14:paraId="54649197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4FFA475C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222B171C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（1）培养学生的职业素养以及职业道德；</w:t>
            </w:r>
          </w:p>
          <w:p w14:paraId="4D9AB30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（2）培养学生按 6S (整理、整顿、清扫、清洁、素养、安全)标准工作的良好习惯。</w:t>
            </w:r>
          </w:p>
          <w:p w14:paraId="31ED9AA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56E79941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（1）掌握数控车床编程的基本知识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73DB1990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掌握数车床指令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的格式；</w:t>
            </w:r>
          </w:p>
          <w:p w14:paraId="0A8D80E5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掌握数控车床编程的主要内容和方法以及程序的结构与格式。</w:t>
            </w:r>
          </w:p>
          <w:p w14:paraId="28FB5F44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5AAD6FE1">
            <w:pPr>
              <w:widowControl/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会正确输入加工程序；</w:t>
            </w:r>
          </w:p>
          <w:p w14:paraId="6E9E0191">
            <w:pPr>
              <w:widowControl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）会对输入的加工程序进行修改、模拟加工。</w:t>
            </w:r>
          </w:p>
        </w:tc>
        <w:tc>
          <w:tcPr>
            <w:tcW w:w="1417" w:type="dxa"/>
            <w:vAlign w:val="center"/>
          </w:tcPr>
          <w:p w14:paraId="7318885C">
            <w:pPr>
              <w:widowControl/>
              <w:jc w:val="left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1417" w:type="dxa"/>
            <w:vAlign w:val="center"/>
          </w:tcPr>
          <w:p w14:paraId="10092B56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安全规范、</w:t>
            </w:r>
          </w:p>
          <w:p w14:paraId="2010BB33">
            <w:pPr>
              <w:jc w:val="left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细致严谨</w:t>
            </w:r>
          </w:p>
        </w:tc>
      </w:tr>
      <w:tr w14:paraId="26367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757EEA91"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轴类零件的编程与加工</w:t>
            </w:r>
          </w:p>
        </w:tc>
        <w:tc>
          <w:tcPr>
            <w:tcW w:w="1134" w:type="dxa"/>
            <w:vAlign w:val="center"/>
          </w:tcPr>
          <w:p w14:paraId="2F8E2BED">
            <w:pPr>
              <w:jc w:val="center"/>
              <w:rPr>
                <w:rFonts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任务一</w:t>
            </w:r>
          </w:p>
          <w:p w14:paraId="04A1FEF3">
            <w:pPr>
              <w:widowControl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Cs w:val="21"/>
                <w:lang w:bidi="ar"/>
              </w:rPr>
              <w:t>简单轴类零件的编程与加工</w:t>
            </w:r>
          </w:p>
        </w:tc>
        <w:tc>
          <w:tcPr>
            <w:tcW w:w="3140" w:type="dxa"/>
            <w:vAlign w:val="center"/>
          </w:tcPr>
          <w:p w14:paraId="2B2580A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04057B8C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Cs w:val="21"/>
              </w:rPr>
              <w:t>零件图纸分析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3220F1CE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轴类零件加工</w:t>
            </w:r>
            <w:r>
              <w:rPr>
                <w:rFonts w:hint="eastAsia" w:ascii="仿宋" w:hAnsi="仿宋" w:eastAsia="仿宋" w:cs="仿宋"/>
                <w:szCs w:val="21"/>
              </w:rPr>
              <w:t>的常用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指令；</w:t>
            </w:r>
          </w:p>
          <w:p w14:paraId="530EEBBA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3.拟定加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工</w:t>
            </w:r>
            <w:r>
              <w:rPr>
                <w:rFonts w:hint="eastAsia" w:ascii="仿宋" w:hAnsi="仿宋" w:eastAsia="仿宋" w:cs="仿宋"/>
                <w:szCs w:val="21"/>
              </w:rPr>
              <w:t>工艺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16AD2E87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Cs w:val="21"/>
              </w:rPr>
              <w:t>.加工零件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58C29BA1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Cs w:val="21"/>
              </w:rPr>
              <w:t>使用通用量具对零件进行精度检验。</w:t>
            </w:r>
          </w:p>
          <w:p w14:paraId="0BFADCAB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00D6AA78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45E5AC31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（1）培养学生的职业素养以及职业道德；</w:t>
            </w:r>
          </w:p>
          <w:p w14:paraId="4CC0A9C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（2）培养学生按 6S (整理、整顿、清扫、清洁、素养、安全)标准工作的良好习惯。</w:t>
            </w:r>
          </w:p>
          <w:p w14:paraId="55977EA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26D63611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（1）掌握数控车床编程的基本知识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5A9ED147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掌握数车常用术语及指令代码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46DC93C5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掌握数控编程的主要内容和方法以及程序的结构与格式。</w:t>
            </w:r>
          </w:p>
          <w:p w14:paraId="18382C3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034654ED">
            <w:pPr>
              <w:widowControl/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会根据图样加工出工件；</w:t>
            </w:r>
          </w:p>
          <w:p w14:paraId="26B68E24">
            <w:pPr>
              <w:widowControl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）会</w:t>
            </w:r>
            <w:r>
              <w:rPr>
                <w:rFonts w:hint="eastAsia" w:ascii="仿宋" w:hAnsi="仿宋" w:eastAsia="仿宋" w:cs="仿宋"/>
                <w:szCs w:val="21"/>
              </w:rPr>
              <w:t>使用通用量具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对工件进行检验。</w:t>
            </w:r>
          </w:p>
        </w:tc>
        <w:tc>
          <w:tcPr>
            <w:tcW w:w="1417" w:type="dxa"/>
            <w:vAlign w:val="center"/>
          </w:tcPr>
          <w:p w14:paraId="19212876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Align w:val="center"/>
          </w:tcPr>
          <w:p w14:paraId="24400AE5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安全规范、</w:t>
            </w:r>
          </w:p>
          <w:p w14:paraId="2406B375">
            <w:pPr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细致严谨</w:t>
            </w:r>
          </w:p>
        </w:tc>
      </w:tr>
      <w:tr w14:paraId="1FC775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56D2D9D6"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四、内孔加工</w:t>
            </w:r>
          </w:p>
        </w:tc>
        <w:tc>
          <w:tcPr>
            <w:tcW w:w="1134" w:type="dxa"/>
            <w:vAlign w:val="center"/>
          </w:tcPr>
          <w:p w14:paraId="13BC7280">
            <w:pPr>
              <w:jc w:val="center"/>
              <w:rPr>
                <w:rFonts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任务一</w:t>
            </w:r>
          </w:p>
          <w:p w14:paraId="5B106390">
            <w:pPr>
              <w:widowControl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内孔加工</w:t>
            </w:r>
          </w:p>
        </w:tc>
        <w:tc>
          <w:tcPr>
            <w:tcW w:w="3140" w:type="dxa"/>
            <w:vAlign w:val="center"/>
          </w:tcPr>
          <w:p w14:paraId="78FDA13F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40289F1F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Cs w:val="21"/>
              </w:rPr>
              <w:t>零件图纸分析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6F24D4D8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内孔加工</w:t>
            </w:r>
            <w:r>
              <w:rPr>
                <w:rFonts w:hint="eastAsia" w:ascii="仿宋" w:hAnsi="仿宋" w:eastAsia="仿宋" w:cs="仿宋"/>
                <w:szCs w:val="21"/>
              </w:rPr>
              <w:t>的常用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指令；</w:t>
            </w:r>
          </w:p>
          <w:p w14:paraId="2B037062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3.</w:t>
            </w:r>
            <w:r>
              <w:rPr>
                <w:rFonts w:hint="eastAsia" w:ascii="仿宋" w:hAnsi="仿宋" w:eastAsia="仿宋" w:cs="仿宋"/>
                <w:szCs w:val="21"/>
              </w:rPr>
              <w:t>拟定加工工艺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1A68520F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Cs w:val="21"/>
              </w:rPr>
              <w:t>.加工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零件；</w:t>
            </w:r>
          </w:p>
          <w:p w14:paraId="33D44145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szCs w:val="21"/>
              </w:rPr>
              <w:t>.使用通用量具对零件进行精度检验。</w:t>
            </w:r>
          </w:p>
          <w:p w14:paraId="3731CB9D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5B05D02B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752F914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（1）培养学生的职业素养以及职业道德；</w:t>
            </w:r>
          </w:p>
          <w:p w14:paraId="095CE051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（2）培养学生按 6S (整理、整顿、清扫、清洁、素养、安全)标准工作的良好习惯。</w:t>
            </w:r>
          </w:p>
          <w:p w14:paraId="1D0D65C8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0B0BDE6E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（1）掌握数控车床编程的基本知识;</w:t>
            </w:r>
          </w:p>
          <w:p w14:paraId="50270B99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掌握数车常用术语及指令代码;</w:t>
            </w:r>
          </w:p>
          <w:p w14:paraId="0BE94092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掌握数控编程的主要内容和方法以及程序的结构与格式。</w:t>
            </w:r>
          </w:p>
          <w:p w14:paraId="2DA93A1F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6F33EFAD">
            <w:pPr>
              <w:widowControl/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会根据图样加工出工件；</w:t>
            </w:r>
          </w:p>
          <w:p w14:paraId="58670531">
            <w:pPr>
              <w:widowControl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）会</w:t>
            </w:r>
            <w:r>
              <w:rPr>
                <w:rFonts w:hint="eastAsia" w:ascii="仿宋" w:hAnsi="仿宋" w:eastAsia="仿宋" w:cs="仿宋"/>
                <w:szCs w:val="21"/>
              </w:rPr>
              <w:t>使用通用量具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对工件进行检验。</w:t>
            </w:r>
          </w:p>
        </w:tc>
        <w:tc>
          <w:tcPr>
            <w:tcW w:w="1417" w:type="dxa"/>
            <w:vAlign w:val="center"/>
          </w:tcPr>
          <w:p w14:paraId="119138F1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Align w:val="center"/>
          </w:tcPr>
          <w:p w14:paraId="30A3FD4F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安全规范、</w:t>
            </w:r>
          </w:p>
          <w:p w14:paraId="6A812B42"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细致严谨</w:t>
            </w:r>
          </w:p>
        </w:tc>
      </w:tr>
      <w:tr w14:paraId="37324F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6E9A8F92">
            <w:pPr>
              <w:jc w:val="center"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五、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螺纹加工</w:t>
            </w:r>
          </w:p>
        </w:tc>
        <w:tc>
          <w:tcPr>
            <w:tcW w:w="1134" w:type="dxa"/>
            <w:vAlign w:val="center"/>
          </w:tcPr>
          <w:p w14:paraId="26615002">
            <w:pPr>
              <w:jc w:val="center"/>
              <w:rPr>
                <w:rFonts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任务一</w:t>
            </w:r>
          </w:p>
          <w:p w14:paraId="4475352A">
            <w:pPr>
              <w:widowControl/>
              <w:rPr>
                <w:rFonts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Cs w:val="21"/>
                <w:lang w:bidi="ar"/>
              </w:rPr>
              <w:t>螺纹加工</w:t>
            </w:r>
          </w:p>
        </w:tc>
        <w:tc>
          <w:tcPr>
            <w:tcW w:w="3140" w:type="dxa"/>
            <w:vAlign w:val="center"/>
          </w:tcPr>
          <w:p w14:paraId="28996874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4F73F4FA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Cs w:val="21"/>
              </w:rPr>
              <w:t>零件图纸分析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4A4668E0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螺纹加工</w:t>
            </w:r>
            <w:r>
              <w:rPr>
                <w:rFonts w:hint="eastAsia" w:ascii="仿宋" w:hAnsi="仿宋" w:eastAsia="仿宋" w:cs="仿宋"/>
                <w:szCs w:val="21"/>
              </w:rPr>
              <w:t>的常用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指令；</w:t>
            </w:r>
          </w:p>
          <w:p w14:paraId="53C362B4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3.拟定加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工</w:t>
            </w:r>
            <w:r>
              <w:rPr>
                <w:rFonts w:hint="eastAsia" w:ascii="仿宋" w:hAnsi="仿宋" w:eastAsia="仿宋" w:cs="仿宋"/>
                <w:szCs w:val="21"/>
              </w:rPr>
              <w:t>工艺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08C1273A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</w:t>
            </w:r>
            <w:r>
              <w:rPr>
                <w:rFonts w:hint="eastAsia" w:ascii="仿宋" w:hAnsi="仿宋" w:eastAsia="仿宋" w:cs="仿宋"/>
                <w:szCs w:val="21"/>
              </w:rPr>
              <w:t>.加工零件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63BA36A2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5.</w:t>
            </w:r>
            <w:r>
              <w:rPr>
                <w:rFonts w:hint="eastAsia" w:ascii="仿宋" w:hAnsi="仿宋" w:eastAsia="仿宋" w:cs="仿宋"/>
                <w:szCs w:val="21"/>
              </w:rPr>
              <w:t>使用通用量具对零件进行精度检验。</w:t>
            </w:r>
          </w:p>
          <w:p w14:paraId="3E17116E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629148E3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2EE63CE4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（1）培养学生的职业素养以及职业道德；</w:t>
            </w:r>
          </w:p>
          <w:p w14:paraId="529966AC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（2）培养学生按 6S (整理、整顿、清扫、清洁、素养、安全)标准工作的良好习惯。</w:t>
            </w:r>
          </w:p>
          <w:p w14:paraId="365424C8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0CEA4D90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（1）掌握数控车床编程的基本知识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0DF8F6F6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掌握数车常用术语及指令代码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4FE9AF35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掌握数控编程的主要内容和方法以及程序的结构与格式。</w:t>
            </w:r>
          </w:p>
          <w:p w14:paraId="21A3755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4FE74D95">
            <w:pPr>
              <w:widowControl/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会根据图样加工出工件；</w:t>
            </w:r>
          </w:p>
          <w:p w14:paraId="18963891">
            <w:pPr>
              <w:widowControl/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）会</w:t>
            </w:r>
            <w:r>
              <w:rPr>
                <w:rFonts w:hint="eastAsia" w:ascii="仿宋" w:hAnsi="仿宋" w:eastAsia="仿宋" w:cs="仿宋"/>
                <w:szCs w:val="21"/>
              </w:rPr>
              <w:t>使用通用量具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对工件进行检验。</w:t>
            </w:r>
          </w:p>
        </w:tc>
        <w:tc>
          <w:tcPr>
            <w:tcW w:w="1417" w:type="dxa"/>
            <w:vAlign w:val="center"/>
          </w:tcPr>
          <w:p w14:paraId="09A7C9B1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Align w:val="center"/>
          </w:tcPr>
          <w:p w14:paraId="58932D8E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安全规范、</w:t>
            </w:r>
          </w:p>
          <w:p w14:paraId="4CFFF725">
            <w:pPr>
              <w:jc w:val="center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细致严谨</w:t>
            </w:r>
          </w:p>
        </w:tc>
      </w:tr>
      <w:tr w14:paraId="7B9B9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Align w:val="center"/>
          </w:tcPr>
          <w:p w14:paraId="23398166"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六、综合件加工</w:t>
            </w:r>
          </w:p>
        </w:tc>
        <w:tc>
          <w:tcPr>
            <w:tcW w:w="1134" w:type="dxa"/>
            <w:vAlign w:val="center"/>
          </w:tcPr>
          <w:p w14:paraId="5A42A3C4">
            <w:pPr>
              <w:jc w:val="center"/>
              <w:rPr>
                <w:rFonts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任务一</w:t>
            </w:r>
          </w:p>
          <w:p w14:paraId="64EA5F17">
            <w:pPr>
              <w:widowControl/>
              <w:jc w:val="center"/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综合件加工</w:t>
            </w:r>
          </w:p>
        </w:tc>
        <w:tc>
          <w:tcPr>
            <w:tcW w:w="3140" w:type="dxa"/>
            <w:vAlign w:val="center"/>
          </w:tcPr>
          <w:p w14:paraId="1FF8F2BC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教学内容：</w:t>
            </w:r>
          </w:p>
          <w:p w14:paraId="6A707266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.</w:t>
            </w:r>
            <w:r>
              <w:rPr>
                <w:rFonts w:hint="eastAsia" w:ascii="仿宋" w:hAnsi="仿宋" w:eastAsia="仿宋" w:cs="仿宋"/>
                <w:szCs w:val="21"/>
              </w:rPr>
              <w:t>零件图纸分析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684F9935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2.拟定加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工</w:t>
            </w:r>
            <w:r>
              <w:rPr>
                <w:rFonts w:hint="eastAsia" w:ascii="仿宋" w:hAnsi="仿宋" w:eastAsia="仿宋" w:cs="仿宋"/>
                <w:szCs w:val="21"/>
              </w:rPr>
              <w:t>工艺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5AA148C9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</w:t>
            </w:r>
            <w:r>
              <w:rPr>
                <w:rFonts w:hint="eastAsia" w:ascii="仿宋" w:hAnsi="仿宋" w:eastAsia="仿宋" w:cs="仿宋"/>
                <w:szCs w:val="21"/>
              </w:rPr>
              <w:t>.加工零件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552F23A2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4.</w:t>
            </w:r>
            <w:r>
              <w:rPr>
                <w:rFonts w:hint="eastAsia" w:ascii="仿宋" w:hAnsi="仿宋" w:eastAsia="仿宋" w:cs="仿宋"/>
                <w:szCs w:val="21"/>
              </w:rPr>
              <w:t>使用通用量具对零件进行精度检验。</w:t>
            </w:r>
          </w:p>
          <w:p w14:paraId="3119ED4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教学要求：</w:t>
            </w:r>
          </w:p>
          <w:p w14:paraId="20DE2483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1.素养目标</w:t>
            </w:r>
          </w:p>
          <w:p w14:paraId="36410C46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（1）培养学生的职业素养以及职业道德；</w:t>
            </w:r>
          </w:p>
          <w:p w14:paraId="076C4445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（2）培养学生按 6S (整理、整顿、清扫、清洁、素养、安全)标准工作的良好习惯。</w:t>
            </w:r>
          </w:p>
          <w:p w14:paraId="1EF77CB1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2.知识目标</w:t>
            </w:r>
          </w:p>
          <w:p w14:paraId="17A384D6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（1）掌握数控车床编程的基本知识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7AA4E35A">
            <w:pPr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掌握数车常用术语及指令代码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；</w:t>
            </w:r>
          </w:p>
          <w:p w14:paraId="6B88ABAB">
            <w:pPr>
              <w:jc w:val="left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</w:rPr>
              <w:t>3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</w:t>
            </w:r>
            <w:r>
              <w:rPr>
                <w:rFonts w:hint="eastAsia" w:ascii="仿宋" w:hAnsi="仿宋" w:eastAsia="仿宋" w:cs="仿宋"/>
                <w:szCs w:val="21"/>
              </w:rPr>
              <w:t>掌握数控编程的主要内容和方法以及程序的结构与格式。</w:t>
            </w:r>
          </w:p>
          <w:p w14:paraId="5AF92B61">
            <w:pPr>
              <w:jc w:val="left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3.技能目标</w:t>
            </w:r>
          </w:p>
          <w:p w14:paraId="25FE782E">
            <w:pPr>
              <w:widowControl/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（1）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会根据图样加工出工件；</w:t>
            </w:r>
          </w:p>
          <w:p w14:paraId="5E145E2B">
            <w:pPr>
              <w:widowControl/>
              <w:jc w:val="left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）会</w:t>
            </w:r>
            <w:r>
              <w:rPr>
                <w:rFonts w:hint="eastAsia" w:ascii="仿宋" w:hAnsi="仿宋" w:eastAsia="仿宋" w:cs="仿宋"/>
                <w:szCs w:val="21"/>
              </w:rPr>
              <w:t>使用通用量具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对工件进行检验。</w:t>
            </w:r>
          </w:p>
        </w:tc>
        <w:tc>
          <w:tcPr>
            <w:tcW w:w="1417" w:type="dxa"/>
            <w:vAlign w:val="center"/>
          </w:tcPr>
          <w:p w14:paraId="1CBDD020">
            <w:pPr>
              <w:widowControl/>
              <w:jc w:val="left"/>
              <w:rPr>
                <w:rFonts w:ascii="仿宋" w:hAnsi="仿宋" w:eastAsia="仿宋" w:cs="仿宋"/>
                <w:color w:val="000000"/>
                <w:kern w:val="0"/>
                <w:szCs w:val="21"/>
                <w:lang w:bidi="ar"/>
              </w:rPr>
            </w:pPr>
          </w:p>
        </w:tc>
        <w:tc>
          <w:tcPr>
            <w:tcW w:w="1417" w:type="dxa"/>
            <w:vAlign w:val="center"/>
          </w:tcPr>
          <w:p w14:paraId="74285D79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安全规范、</w:t>
            </w:r>
          </w:p>
          <w:p w14:paraId="1925A278">
            <w:pPr>
              <w:jc w:val="center"/>
              <w:rPr>
                <w:rFonts w:hint="eastAsia"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细致严谨</w:t>
            </w:r>
          </w:p>
        </w:tc>
      </w:tr>
    </w:tbl>
    <w:p w14:paraId="72DAD483"/>
    <w:p w14:paraId="65CEF351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6" w:name="_Toc6485"/>
      <w:r>
        <w:rPr>
          <w:rFonts w:hint="eastAsia" w:ascii="黑体" w:hAnsi="黑体" w:eastAsia="黑体" w:cs="黑体"/>
          <w:sz w:val="28"/>
          <w:szCs w:val="28"/>
        </w:rPr>
        <w:t>学生考核与评价</w:t>
      </w:r>
      <w:bookmarkEnd w:id="16"/>
    </w:p>
    <w:p w14:paraId="4EDF4C11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  <w:lang w:eastAsia="zh-CN"/>
        </w:rPr>
        <w:t>数控加工技术</w:t>
      </w:r>
      <w:r>
        <w:rPr>
          <w:rFonts w:hint="eastAsia" w:ascii="仿宋" w:hAnsi="仿宋" w:eastAsia="仿宋" w:cs="仿宋"/>
          <w:sz w:val="24"/>
        </w:rPr>
        <w:t>综合评价见表3。</w:t>
      </w:r>
    </w:p>
    <w:p w14:paraId="174E666E">
      <w:pPr>
        <w:pStyle w:val="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3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课程综合评价指标</w:t>
      </w:r>
    </w:p>
    <w:tbl>
      <w:tblPr>
        <w:tblStyle w:val="6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5342"/>
        <w:gridCol w:w="1267"/>
        <w:gridCol w:w="1042"/>
      </w:tblGrid>
      <w:tr w14:paraId="6BD95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511" w:type="pct"/>
            <w:vAlign w:val="center"/>
          </w:tcPr>
          <w:p w14:paraId="47DEB2E7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评价</w:t>
            </w:r>
          </w:p>
          <w:p w14:paraId="279A0664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项目</w:t>
            </w:r>
          </w:p>
        </w:tc>
        <w:tc>
          <w:tcPr>
            <w:tcW w:w="3133" w:type="pct"/>
            <w:vAlign w:val="center"/>
          </w:tcPr>
          <w:p w14:paraId="384C530C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评价内容</w:t>
            </w:r>
          </w:p>
        </w:tc>
        <w:tc>
          <w:tcPr>
            <w:tcW w:w="743" w:type="pct"/>
            <w:vAlign w:val="center"/>
          </w:tcPr>
          <w:p w14:paraId="0A2668AE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权重（%）</w:t>
            </w:r>
          </w:p>
        </w:tc>
        <w:tc>
          <w:tcPr>
            <w:tcW w:w="611" w:type="pct"/>
            <w:vAlign w:val="center"/>
          </w:tcPr>
          <w:p w14:paraId="725A6209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lang w:eastAsia="zh-CN"/>
              </w:rPr>
              <w:t>总比例</w:t>
            </w:r>
          </w:p>
        </w:tc>
      </w:tr>
      <w:tr w14:paraId="602616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1" w:hRule="atLeast"/>
          <w:jc w:val="center"/>
        </w:trPr>
        <w:tc>
          <w:tcPr>
            <w:tcW w:w="511" w:type="pct"/>
            <w:vMerge w:val="restart"/>
            <w:vAlign w:val="center"/>
          </w:tcPr>
          <w:p w14:paraId="29806A52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课前</w:t>
            </w:r>
          </w:p>
        </w:tc>
        <w:tc>
          <w:tcPr>
            <w:tcW w:w="3133" w:type="pct"/>
            <w:vAlign w:val="center"/>
          </w:tcPr>
          <w:p w14:paraId="0B4085E2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</w:rPr>
              <w:t>微课及</w:t>
            </w: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在线</w:t>
            </w:r>
            <w:r>
              <w:rPr>
                <w:rFonts w:hint="eastAsia" w:ascii="仿宋" w:hAnsi="仿宋" w:eastAsia="仿宋" w:cs="仿宋"/>
                <w:sz w:val="21"/>
                <w:szCs w:val="21"/>
              </w:rPr>
              <w:t>学习</w:t>
            </w:r>
          </w:p>
        </w:tc>
        <w:tc>
          <w:tcPr>
            <w:tcW w:w="743" w:type="pct"/>
            <w:vAlign w:val="center"/>
          </w:tcPr>
          <w:p w14:paraId="01E1B11B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11" w:type="pct"/>
            <w:vMerge w:val="restart"/>
            <w:vAlign w:val="center"/>
          </w:tcPr>
          <w:p w14:paraId="4BB8A9B0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10%</w:t>
            </w:r>
          </w:p>
        </w:tc>
      </w:tr>
      <w:tr w14:paraId="7C0E0C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  <w:jc w:val="center"/>
        </w:trPr>
        <w:tc>
          <w:tcPr>
            <w:tcW w:w="511" w:type="pct"/>
            <w:vMerge w:val="continue"/>
            <w:vAlign w:val="center"/>
          </w:tcPr>
          <w:p w14:paraId="57C288C7">
            <w:pPr>
              <w:pStyle w:val="13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3" w:type="pct"/>
            <w:vAlign w:val="center"/>
          </w:tcPr>
          <w:p w14:paraId="4469859D">
            <w:pPr>
              <w:pStyle w:val="13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话题讨论（点赞及转发量）</w:t>
            </w:r>
          </w:p>
        </w:tc>
        <w:tc>
          <w:tcPr>
            <w:tcW w:w="743" w:type="pct"/>
            <w:vAlign w:val="center"/>
          </w:tcPr>
          <w:p w14:paraId="3A27B0AC">
            <w:pPr>
              <w:pStyle w:val="13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11" w:type="pct"/>
            <w:vMerge w:val="continue"/>
          </w:tcPr>
          <w:p w14:paraId="18AA91CE">
            <w:pPr>
              <w:pStyle w:val="13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4DD63A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2" w:hRule="atLeast"/>
          <w:jc w:val="center"/>
        </w:trPr>
        <w:tc>
          <w:tcPr>
            <w:tcW w:w="511" w:type="pct"/>
            <w:vMerge w:val="continue"/>
            <w:vAlign w:val="center"/>
          </w:tcPr>
          <w:p w14:paraId="2F06EC42">
            <w:pPr>
              <w:pStyle w:val="13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</w:rPr>
            </w:pPr>
          </w:p>
        </w:tc>
        <w:tc>
          <w:tcPr>
            <w:tcW w:w="3133" w:type="pct"/>
            <w:vAlign w:val="center"/>
          </w:tcPr>
          <w:p w14:paraId="6324350B">
            <w:pPr>
              <w:pStyle w:val="13"/>
              <w:adjustRightInd w:val="0"/>
              <w:snapToGrid w:val="0"/>
              <w:ind w:left="42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课前测试（成绩）</w:t>
            </w:r>
          </w:p>
        </w:tc>
        <w:tc>
          <w:tcPr>
            <w:tcW w:w="743" w:type="pct"/>
            <w:vAlign w:val="center"/>
          </w:tcPr>
          <w:p w14:paraId="04E6A93B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continue"/>
          </w:tcPr>
          <w:p w14:paraId="186492C3">
            <w:pPr>
              <w:pStyle w:val="13"/>
              <w:adjustRightInd w:val="0"/>
              <w:snapToGrid w:val="0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69BB63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511" w:type="pct"/>
            <w:vMerge w:val="restart"/>
            <w:vAlign w:val="center"/>
          </w:tcPr>
          <w:p w14:paraId="010C9E3D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Cs w:val="21"/>
              </w:rPr>
              <w:t>课中</w:t>
            </w:r>
          </w:p>
        </w:tc>
        <w:tc>
          <w:tcPr>
            <w:tcW w:w="3133" w:type="pct"/>
            <w:vAlign w:val="center"/>
          </w:tcPr>
          <w:p w14:paraId="56DB1928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kern w:val="0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课堂考勤（准时）</w:t>
            </w:r>
          </w:p>
        </w:tc>
        <w:tc>
          <w:tcPr>
            <w:tcW w:w="743" w:type="pct"/>
            <w:vAlign w:val="center"/>
          </w:tcPr>
          <w:p w14:paraId="2E9017D2">
            <w:pPr>
              <w:pStyle w:val="13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restart"/>
            <w:vAlign w:val="center"/>
          </w:tcPr>
          <w:p w14:paraId="1B86E07B">
            <w:pPr>
              <w:pStyle w:val="13"/>
              <w:adjustRightInd w:val="0"/>
              <w:snapToGrid w:val="0"/>
              <w:spacing w:before="75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80%</w:t>
            </w:r>
          </w:p>
        </w:tc>
      </w:tr>
      <w:tr w14:paraId="39B877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  <w:jc w:val="center"/>
        </w:trPr>
        <w:tc>
          <w:tcPr>
            <w:tcW w:w="511" w:type="pct"/>
            <w:vMerge w:val="continue"/>
            <w:vAlign w:val="center"/>
          </w:tcPr>
          <w:p w14:paraId="0DA86AE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 w14:paraId="77BA647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虚拟仿真软件使用</w:t>
            </w:r>
          </w:p>
        </w:tc>
        <w:tc>
          <w:tcPr>
            <w:tcW w:w="743" w:type="pct"/>
            <w:vAlign w:val="center"/>
          </w:tcPr>
          <w:p w14:paraId="6651F015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20</w:t>
            </w:r>
          </w:p>
        </w:tc>
        <w:tc>
          <w:tcPr>
            <w:tcW w:w="611" w:type="pct"/>
            <w:vMerge w:val="continue"/>
          </w:tcPr>
          <w:p w14:paraId="184B8028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78A8D1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2" w:hRule="atLeast"/>
          <w:jc w:val="center"/>
        </w:trPr>
        <w:tc>
          <w:tcPr>
            <w:tcW w:w="511" w:type="pct"/>
            <w:vMerge w:val="continue"/>
            <w:vAlign w:val="center"/>
          </w:tcPr>
          <w:p w14:paraId="74C15007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 w14:paraId="2DE0510B">
            <w:pPr>
              <w:pStyle w:val="13"/>
              <w:adjustRightInd w:val="0"/>
              <w:snapToGrid w:val="0"/>
              <w:ind w:right="193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识图纪要填写</w:t>
            </w:r>
          </w:p>
        </w:tc>
        <w:tc>
          <w:tcPr>
            <w:tcW w:w="743" w:type="pct"/>
            <w:vAlign w:val="center"/>
          </w:tcPr>
          <w:p w14:paraId="163910E9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25</w:t>
            </w:r>
          </w:p>
        </w:tc>
        <w:tc>
          <w:tcPr>
            <w:tcW w:w="611" w:type="pct"/>
            <w:vMerge w:val="continue"/>
          </w:tcPr>
          <w:p w14:paraId="26CD574E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0B83F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11" w:type="pct"/>
            <w:vMerge w:val="continue"/>
            <w:vAlign w:val="center"/>
          </w:tcPr>
          <w:p w14:paraId="460765D2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 w14:paraId="362D9EAE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劳动教育（投影仪器使用、施工方案收发、桌椅摆放、电源关闭）</w:t>
            </w:r>
          </w:p>
        </w:tc>
        <w:tc>
          <w:tcPr>
            <w:tcW w:w="743" w:type="pct"/>
            <w:vAlign w:val="center"/>
          </w:tcPr>
          <w:p w14:paraId="0DFD841A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1" w:type="pct"/>
            <w:vMerge w:val="continue"/>
          </w:tcPr>
          <w:p w14:paraId="402A1522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5F0FD7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511" w:type="pct"/>
            <w:vMerge w:val="continue"/>
            <w:vAlign w:val="center"/>
          </w:tcPr>
          <w:p w14:paraId="28AE7F91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 w14:paraId="2862EDE2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课堂整体表现（沟通、协调能力、职业素质、创新能力、成果展示）</w:t>
            </w:r>
          </w:p>
        </w:tc>
        <w:tc>
          <w:tcPr>
            <w:tcW w:w="743" w:type="pct"/>
            <w:vAlign w:val="center"/>
          </w:tcPr>
          <w:p w14:paraId="33ED572E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1" w:type="pct"/>
            <w:vMerge w:val="continue"/>
          </w:tcPr>
          <w:p w14:paraId="5B6706BE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624DC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511" w:type="pct"/>
            <w:vMerge w:val="continue"/>
            <w:vAlign w:val="center"/>
          </w:tcPr>
          <w:p w14:paraId="6BD79CD0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</w:p>
        </w:tc>
        <w:tc>
          <w:tcPr>
            <w:tcW w:w="3133" w:type="pct"/>
            <w:vAlign w:val="center"/>
          </w:tcPr>
          <w:p w14:paraId="4A7E1C92">
            <w:pPr>
              <w:adjustRightInd w:val="0"/>
              <w:snapToGrid w:val="0"/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思政教育（劳动精神、工匠精神、劳模精神）</w:t>
            </w:r>
          </w:p>
        </w:tc>
        <w:tc>
          <w:tcPr>
            <w:tcW w:w="743" w:type="pct"/>
            <w:vAlign w:val="center"/>
          </w:tcPr>
          <w:p w14:paraId="1B4DF6B8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</w:t>
            </w:r>
          </w:p>
        </w:tc>
        <w:tc>
          <w:tcPr>
            <w:tcW w:w="611" w:type="pct"/>
            <w:vMerge w:val="continue"/>
          </w:tcPr>
          <w:p w14:paraId="208B660E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2CC79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511" w:type="pct"/>
            <w:vMerge w:val="restart"/>
            <w:vAlign w:val="center"/>
          </w:tcPr>
          <w:p w14:paraId="38C47A64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b/>
                <w:bCs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</w:rPr>
              <w:t>课后</w:t>
            </w:r>
          </w:p>
        </w:tc>
        <w:tc>
          <w:tcPr>
            <w:tcW w:w="3133" w:type="pct"/>
            <w:vAlign w:val="center"/>
          </w:tcPr>
          <w:p w14:paraId="4B63DC65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课后测试（成绩）</w:t>
            </w:r>
          </w:p>
        </w:tc>
        <w:tc>
          <w:tcPr>
            <w:tcW w:w="743" w:type="pct"/>
            <w:vAlign w:val="center"/>
          </w:tcPr>
          <w:p w14:paraId="5B01E843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3</w:t>
            </w:r>
          </w:p>
        </w:tc>
        <w:tc>
          <w:tcPr>
            <w:tcW w:w="611" w:type="pct"/>
            <w:vMerge w:val="restart"/>
            <w:vAlign w:val="center"/>
          </w:tcPr>
          <w:p w14:paraId="366C0828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10%</w:t>
            </w:r>
          </w:p>
        </w:tc>
      </w:tr>
      <w:tr w14:paraId="3382F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511" w:type="pct"/>
            <w:vMerge w:val="continue"/>
            <w:vAlign w:val="center"/>
          </w:tcPr>
          <w:p w14:paraId="48569692">
            <w:pPr>
              <w:pStyle w:val="13"/>
              <w:adjustRightInd w:val="0"/>
              <w:snapToGrid w:val="0"/>
              <w:spacing w:before="7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133" w:type="pct"/>
            <w:vAlign w:val="center"/>
          </w:tcPr>
          <w:p w14:paraId="2714DDE9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虚拟系统工程实践</w:t>
            </w:r>
          </w:p>
        </w:tc>
        <w:tc>
          <w:tcPr>
            <w:tcW w:w="743" w:type="pct"/>
            <w:vAlign w:val="center"/>
          </w:tcPr>
          <w:p w14:paraId="5AEFC472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5</w:t>
            </w:r>
          </w:p>
        </w:tc>
        <w:tc>
          <w:tcPr>
            <w:tcW w:w="611" w:type="pct"/>
            <w:vMerge w:val="continue"/>
          </w:tcPr>
          <w:p w14:paraId="629BDC10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  <w:tr w14:paraId="5EE64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6" w:hRule="atLeast"/>
          <w:jc w:val="center"/>
        </w:trPr>
        <w:tc>
          <w:tcPr>
            <w:tcW w:w="511" w:type="pct"/>
            <w:vMerge w:val="continue"/>
            <w:vAlign w:val="center"/>
          </w:tcPr>
          <w:p w14:paraId="67563BBB">
            <w:pPr>
              <w:pStyle w:val="13"/>
              <w:adjustRightInd w:val="0"/>
              <w:snapToGrid w:val="0"/>
              <w:spacing w:before="7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  <w:tc>
          <w:tcPr>
            <w:tcW w:w="3133" w:type="pct"/>
            <w:vAlign w:val="center"/>
          </w:tcPr>
          <w:p w14:paraId="22BB2D39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话题讨论</w:t>
            </w:r>
          </w:p>
        </w:tc>
        <w:tc>
          <w:tcPr>
            <w:tcW w:w="743" w:type="pct"/>
            <w:vAlign w:val="center"/>
          </w:tcPr>
          <w:p w14:paraId="1D01FBC5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lang w:eastAsia="zh-CN"/>
              </w:rPr>
              <w:t>2</w:t>
            </w:r>
          </w:p>
        </w:tc>
        <w:tc>
          <w:tcPr>
            <w:tcW w:w="611" w:type="pct"/>
            <w:vMerge w:val="continue"/>
          </w:tcPr>
          <w:p w14:paraId="392BE969">
            <w:pPr>
              <w:pStyle w:val="13"/>
              <w:adjustRightInd w:val="0"/>
              <w:snapToGrid w:val="0"/>
              <w:spacing w:before="21"/>
              <w:jc w:val="center"/>
              <w:rPr>
                <w:rFonts w:ascii="仿宋" w:hAnsi="仿宋" w:eastAsia="仿宋" w:cs="仿宋"/>
                <w:sz w:val="21"/>
                <w:szCs w:val="21"/>
                <w:lang w:eastAsia="zh-CN"/>
              </w:rPr>
            </w:pPr>
          </w:p>
        </w:tc>
      </w:tr>
    </w:tbl>
    <w:p w14:paraId="3ADBC973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注：1.表中评价内容及权重仅供参考，根据本课程特点进行调整；</w:t>
      </w:r>
    </w:p>
    <w:p w14:paraId="4706149A">
      <w:pPr>
        <w:spacing w:line="360" w:lineRule="auto"/>
        <w:ind w:firstLine="960" w:firstLineChars="4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2.增值赋分之后，总分不超过100分。</w:t>
      </w:r>
    </w:p>
    <w:p w14:paraId="2033303A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17" w:name="_Toc19887"/>
      <w:r>
        <w:rPr>
          <w:rFonts w:hint="eastAsia" w:ascii="黑体" w:hAnsi="黑体" w:eastAsia="黑体" w:cs="黑体"/>
          <w:sz w:val="28"/>
          <w:szCs w:val="28"/>
        </w:rPr>
        <w:t>教学实施与保障</w:t>
      </w:r>
      <w:bookmarkEnd w:id="17"/>
    </w:p>
    <w:p w14:paraId="7C4536D1">
      <w:pPr>
        <w:numPr>
          <w:ilvl w:val="0"/>
          <w:numId w:val="5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8" w:name="_Toc32416"/>
      <w:r>
        <w:rPr>
          <w:rFonts w:hint="eastAsia" w:ascii="楷体" w:hAnsi="楷体" w:eastAsia="楷体" w:cs="楷体"/>
          <w:sz w:val="28"/>
          <w:szCs w:val="28"/>
        </w:rPr>
        <w:t>教材选用和编写建议</w:t>
      </w:r>
      <w:bookmarkEnd w:id="18"/>
    </w:p>
    <w:p w14:paraId="69400337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采取“任务驱动”法，通过真实工程案例、对接地基基础工程真实工作过程，融入课程思政、劳动教育的思路，编写学习任务手册。</w:t>
      </w:r>
    </w:p>
    <w:p w14:paraId="2AD373FF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对接1+X职业技能等级证书、依据</w:t>
      </w:r>
      <w:r>
        <w:rPr>
          <w:rFonts w:hint="eastAsia" w:ascii="仿宋" w:hAnsi="仿宋" w:eastAsia="仿宋" w:cs="仿宋"/>
          <w:sz w:val="24"/>
          <w:lang w:eastAsia="zh-CN"/>
        </w:rPr>
        <w:t>数控</w:t>
      </w:r>
      <w:r>
        <w:rPr>
          <w:rFonts w:hint="eastAsia" w:ascii="仿宋" w:hAnsi="仿宋" w:eastAsia="仿宋" w:cs="仿宋"/>
          <w:sz w:val="24"/>
        </w:rPr>
        <w:t>岗位工作技能要求，选用国家规划教材，如表3所示，重构教学内容，与企业共同开发基于真实工作过程教学做一体学习任务手册，并配套开发信息化资源、案例、虚拟仿真等，保证内容具有前瞻性、丰富性和实用性。</w:t>
      </w:r>
    </w:p>
    <w:p w14:paraId="1AFE5E1F">
      <w:pPr>
        <w:pStyle w:val="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4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选用与参考教材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3"/>
        <w:gridCol w:w="2706"/>
        <w:gridCol w:w="2191"/>
        <w:gridCol w:w="1652"/>
        <w:gridCol w:w="1064"/>
      </w:tblGrid>
      <w:tr w14:paraId="2D8671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  <w:jc w:val="center"/>
        </w:trPr>
        <w:tc>
          <w:tcPr>
            <w:tcW w:w="683" w:type="dxa"/>
            <w:vAlign w:val="center"/>
          </w:tcPr>
          <w:p w14:paraId="0E303F99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2706" w:type="dxa"/>
            <w:vAlign w:val="center"/>
          </w:tcPr>
          <w:p w14:paraId="766349E0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文献名称</w:t>
            </w:r>
          </w:p>
        </w:tc>
        <w:tc>
          <w:tcPr>
            <w:tcW w:w="2191" w:type="dxa"/>
            <w:vAlign w:val="center"/>
          </w:tcPr>
          <w:p w14:paraId="442CE5F3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出版社</w:t>
            </w:r>
          </w:p>
        </w:tc>
        <w:tc>
          <w:tcPr>
            <w:tcW w:w="1652" w:type="dxa"/>
            <w:vAlign w:val="center"/>
          </w:tcPr>
          <w:p w14:paraId="695C9ADD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主编</w:t>
            </w:r>
          </w:p>
        </w:tc>
        <w:tc>
          <w:tcPr>
            <w:tcW w:w="1064" w:type="dxa"/>
            <w:vAlign w:val="center"/>
          </w:tcPr>
          <w:p w14:paraId="534594E4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出版时间</w:t>
            </w:r>
          </w:p>
        </w:tc>
      </w:tr>
      <w:tr w14:paraId="5D9ECA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83" w:type="dxa"/>
            <w:vAlign w:val="center"/>
          </w:tcPr>
          <w:p w14:paraId="4C7CEE97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2706" w:type="dxa"/>
            <w:vAlign w:val="center"/>
          </w:tcPr>
          <w:p w14:paraId="7B33E286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数控车床编程与操作</w:t>
            </w:r>
          </w:p>
        </w:tc>
        <w:tc>
          <w:tcPr>
            <w:tcW w:w="2191" w:type="dxa"/>
            <w:vAlign w:val="center"/>
          </w:tcPr>
          <w:p w14:paraId="0BFC27C4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中国劳动社会保障出版社</w:t>
            </w:r>
          </w:p>
        </w:tc>
        <w:tc>
          <w:tcPr>
            <w:tcW w:w="1652" w:type="dxa"/>
            <w:vAlign w:val="center"/>
          </w:tcPr>
          <w:p w14:paraId="630103A1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陈何生</w:t>
            </w:r>
          </w:p>
        </w:tc>
        <w:tc>
          <w:tcPr>
            <w:tcW w:w="1064" w:type="dxa"/>
            <w:vAlign w:val="center"/>
          </w:tcPr>
          <w:p w14:paraId="54E2EEF0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2019.8</w:t>
            </w:r>
          </w:p>
        </w:tc>
      </w:tr>
    </w:tbl>
    <w:p w14:paraId="5F266CBC">
      <w:pPr>
        <w:numPr>
          <w:ilvl w:val="0"/>
          <w:numId w:val="5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19" w:name="_Toc21827"/>
      <w:r>
        <w:rPr>
          <w:rFonts w:hint="eastAsia" w:ascii="楷体" w:hAnsi="楷体" w:eastAsia="楷体" w:cs="楷体"/>
          <w:sz w:val="28"/>
          <w:szCs w:val="28"/>
        </w:rPr>
        <w:t>课程资源的开发与利用</w:t>
      </w:r>
      <w:bookmarkEnd w:id="19"/>
    </w:p>
    <w:p w14:paraId="7140D0F4">
      <w:pPr>
        <w:numPr>
          <w:ilvl w:val="0"/>
          <w:numId w:val="6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校企共同开发课件、教学资源库、虚拟仿真、特色视频、精品开放课等教学资源。</w:t>
      </w:r>
    </w:p>
    <w:p w14:paraId="21C9DE9F">
      <w:pPr>
        <w:numPr>
          <w:ilvl w:val="0"/>
          <w:numId w:val="6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选用符合教学要求的录像、课件、视频、建筑模型、资料文献等资料辅助教学。</w:t>
      </w:r>
    </w:p>
    <w:p w14:paraId="1F0254E3">
      <w:pPr>
        <w:numPr>
          <w:ilvl w:val="0"/>
          <w:numId w:val="6"/>
        </w:num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依托学校线上线下混合式教学平台进行课程资源建设。</w:t>
      </w:r>
    </w:p>
    <w:p w14:paraId="520D6A36">
      <w:pPr>
        <w:numPr>
          <w:ilvl w:val="0"/>
          <w:numId w:val="5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20" w:name="_Toc23207"/>
      <w:r>
        <w:rPr>
          <w:rFonts w:hint="eastAsia" w:ascii="楷体" w:hAnsi="楷体" w:eastAsia="楷体" w:cs="楷体"/>
          <w:sz w:val="28"/>
          <w:szCs w:val="28"/>
        </w:rPr>
        <w:t>教学基本条件</w:t>
      </w:r>
      <w:bookmarkEnd w:id="20"/>
    </w:p>
    <w:p w14:paraId="08270782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1.授课教师基本要求</w:t>
      </w:r>
    </w:p>
    <w:p w14:paraId="3DD34C9E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本课程属于</w:t>
      </w:r>
      <w:r>
        <w:rPr>
          <w:rFonts w:hint="eastAsia" w:ascii="仿宋" w:hAnsi="仿宋" w:eastAsia="仿宋" w:cs="仿宋"/>
          <w:sz w:val="24"/>
          <w:lang w:eastAsia="zh-CN"/>
        </w:rPr>
        <w:t>机械加工</w:t>
      </w:r>
      <w:r>
        <w:rPr>
          <w:rFonts w:hint="eastAsia" w:ascii="仿宋" w:hAnsi="仿宋" w:eastAsia="仿宋" w:cs="仿宋"/>
          <w:sz w:val="24"/>
        </w:rPr>
        <w:t>技术专业教学能力和水平要求较高的课程，尤其是对</w:t>
      </w:r>
      <w:r>
        <w:rPr>
          <w:rFonts w:hint="eastAsia" w:ascii="仿宋" w:hAnsi="仿宋" w:eastAsia="仿宋" w:cs="仿宋"/>
          <w:sz w:val="24"/>
          <w:lang w:eastAsia="zh-CN"/>
        </w:rPr>
        <w:t>并行</w:t>
      </w:r>
      <w:r>
        <w:rPr>
          <w:rFonts w:hint="eastAsia" w:ascii="仿宋" w:hAnsi="仿宋" w:eastAsia="仿宋" w:cs="仿宋"/>
          <w:sz w:val="24"/>
        </w:rPr>
        <w:t>课程学习意义重大。因此，授课教师应具备以下基本条件：</w:t>
      </w:r>
    </w:p>
    <w:p w14:paraId="724A3393">
      <w:pPr>
        <w:spacing w:line="360" w:lineRule="auto"/>
        <w:ind w:firstLine="480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sz w:val="24"/>
        </w:rPr>
        <w:t>具有中等职业教师资格证书，具有装备制造大类专业本科及以上学历；具有本专业理论和实践能力；能够落实课程思政要求，挖掘专业课程中的思政教育元素和资源；能够运用信息技术开展混合式教学等教法改革；能够跟踪新经济、新技术发展前沿，开展社会服务；专业教师每年至少1个月在企业或实训基地实训，每5年累计不少于6个月的企业实践经历。</w:t>
      </w:r>
    </w:p>
    <w:p w14:paraId="224C4C3D">
      <w:pPr>
        <w:spacing w:line="360" w:lineRule="auto"/>
        <w:ind w:firstLine="482" w:firstLineChars="200"/>
        <w:rPr>
          <w:rFonts w:ascii="仿宋" w:hAnsi="仿宋" w:eastAsia="仿宋" w:cs="仿宋"/>
          <w:b/>
          <w:bCs/>
          <w:sz w:val="24"/>
        </w:rPr>
      </w:pPr>
      <w:r>
        <w:rPr>
          <w:rFonts w:hint="eastAsia" w:ascii="仿宋" w:hAnsi="仿宋" w:eastAsia="仿宋" w:cs="仿宋"/>
          <w:b/>
          <w:bCs/>
          <w:sz w:val="24"/>
        </w:rPr>
        <w:t>2.实践教学条件要求</w:t>
      </w:r>
    </w:p>
    <w:p w14:paraId="7F1CC5F8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教学设施满足本课程人才培养实施需要，达到国家发布的有关专业实训教学条件建设标准（仪器设备配备规范）要求。信息化条件保障能满足专业建设、教学管理、信息化教学和学生自主学习需要。本课程要求在具备多媒体设备的“理、虚、实”一体化教室实施，按照课程设计情况，支持线上线下混合式教学，见表4。</w:t>
      </w:r>
    </w:p>
    <w:p w14:paraId="30D3A924">
      <w:pPr>
        <w:pStyle w:val="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5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</w:t>
      </w:r>
      <w:r>
        <w:rPr>
          <w:rFonts w:hint="eastAsia" w:ascii="仿宋" w:hAnsi="仿宋" w:eastAsia="仿宋" w:cs="仿宋"/>
          <w:b/>
          <w:bCs/>
          <w:sz w:val="21"/>
          <w:szCs w:val="21"/>
          <w:lang w:val="en-US" w:eastAsia="zh-CN"/>
        </w:rPr>
        <w:t xml:space="preserve">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t>实训室一览表</w:t>
      </w:r>
    </w:p>
    <w:tbl>
      <w:tblPr>
        <w:tblStyle w:val="6"/>
        <w:tblW w:w="875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4"/>
        <w:gridCol w:w="1411"/>
        <w:gridCol w:w="3424"/>
        <w:gridCol w:w="3161"/>
      </w:tblGrid>
      <w:tr w14:paraId="210028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2" w:hRule="atLeast"/>
          <w:jc w:val="center"/>
        </w:trPr>
        <w:tc>
          <w:tcPr>
            <w:tcW w:w="754" w:type="dxa"/>
            <w:vAlign w:val="center"/>
          </w:tcPr>
          <w:p w14:paraId="4B889570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序号</w:t>
            </w:r>
          </w:p>
        </w:tc>
        <w:tc>
          <w:tcPr>
            <w:tcW w:w="1411" w:type="dxa"/>
            <w:vAlign w:val="center"/>
          </w:tcPr>
          <w:p w14:paraId="219C1B22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实训室名称</w:t>
            </w:r>
          </w:p>
        </w:tc>
        <w:tc>
          <w:tcPr>
            <w:tcW w:w="3424" w:type="dxa"/>
            <w:vAlign w:val="center"/>
          </w:tcPr>
          <w:p w14:paraId="363561E9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实训功能</w:t>
            </w:r>
          </w:p>
        </w:tc>
        <w:tc>
          <w:tcPr>
            <w:tcW w:w="3161" w:type="dxa"/>
            <w:vAlign w:val="center"/>
          </w:tcPr>
          <w:p w14:paraId="73EBC8F0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主要设备配置</w:t>
            </w:r>
          </w:p>
        </w:tc>
      </w:tr>
      <w:tr w14:paraId="6DEB7F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atLeast"/>
          <w:jc w:val="center"/>
        </w:trPr>
        <w:tc>
          <w:tcPr>
            <w:tcW w:w="754" w:type="dxa"/>
            <w:vAlign w:val="center"/>
          </w:tcPr>
          <w:p w14:paraId="43FA0CD2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</w:p>
        </w:tc>
        <w:tc>
          <w:tcPr>
            <w:tcW w:w="1411" w:type="dxa"/>
            <w:vAlign w:val="center"/>
          </w:tcPr>
          <w:p w14:paraId="724895EF">
            <w:pPr>
              <w:jc w:val="center"/>
              <w:rPr>
                <w:rFonts w:hint="eastAsia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数控车加工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实习室</w:t>
            </w:r>
          </w:p>
        </w:tc>
        <w:tc>
          <w:tcPr>
            <w:tcW w:w="3424" w:type="dxa"/>
            <w:vAlign w:val="center"/>
          </w:tcPr>
          <w:p w14:paraId="39576E54"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.数控车削加工操作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</w:tc>
        <w:tc>
          <w:tcPr>
            <w:tcW w:w="3161" w:type="dxa"/>
            <w:vAlign w:val="center"/>
          </w:tcPr>
          <w:p w14:paraId="0F39CBA4">
            <w:pPr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1.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数控车床</w:t>
            </w:r>
            <w:r>
              <w:rPr>
                <w:rFonts w:hint="eastAsia" w:ascii="仿宋" w:hAnsi="仿宋" w:eastAsia="仿宋" w:cs="仿宋"/>
                <w:szCs w:val="21"/>
              </w:rPr>
              <w:t>。</w:t>
            </w:r>
          </w:p>
        </w:tc>
      </w:tr>
    </w:tbl>
    <w:p w14:paraId="582354ED">
      <w:pPr>
        <w:numPr>
          <w:ilvl w:val="0"/>
          <w:numId w:val="5"/>
        </w:numPr>
        <w:outlineLvl w:val="1"/>
        <w:rPr>
          <w:rFonts w:ascii="楷体" w:hAnsi="楷体" w:eastAsia="楷体" w:cs="楷体"/>
          <w:sz w:val="28"/>
          <w:szCs w:val="28"/>
        </w:rPr>
      </w:pPr>
      <w:bookmarkStart w:id="21" w:name="_Toc7550"/>
      <w:r>
        <w:rPr>
          <w:rFonts w:hint="eastAsia" w:ascii="楷体" w:hAnsi="楷体" w:eastAsia="楷体" w:cs="楷体"/>
          <w:sz w:val="28"/>
          <w:szCs w:val="28"/>
        </w:rPr>
        <w:t>教学建议</w:t>
      </w:r>
      <w:bookmarkEnd w:id="21"/>
    </w:p>
    <w:p w14:paraId="68F245D8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1.在教学过程中，应立足于加强学生实际操作能力的培养，采用项目教学引领，以工作任务驱动提高学生兴趣，激发学生的成就动机。</w:t>
      </w:r>
    </w:p>
    <w:p w14:paraId="313D1468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2.由于本课程是建筑工程技术专业核心课程内容，因此在教学中采用了大量的真实施工案例、最新的施工质量验收规范和施工新工艺操作视频图片资料，在教学方式上采用了分组教学、实操教学，真正做到了教、学、做有机结合。</w:t>
      </w:r>
    </w:p>
    <w:p w14:paraId="4C66BF3B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3.在教学过程中，要重视本专业领域，要将本专业新规章制度、施工新技术、新工艺和新材料及时纳入教材，贴近企业、贴近生产，使教材更贴近本专业的发展和实际需要。</w:t>
      </w:r>
    </w:p>
    <w:p w14:paraId="2E15CB0C">
      <w:pPr>
        <w:spacing w:line="360" w:lineRule="auto"/>
        <w:ind w:firstLine="480" w:firstLineChars="200"/>
        <w:rPr>
          <w:rFonts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z w:val="24"/>
        </w:rPr>
        <w:t>4.教学过程中教师应积极引导学生提升“重规范安全，树环保意识，能吃苦耐劳，强职业荣誉”的职业素养。</w:t>
      </w:r>
    </w:p>
    <w:p w14:paraId="5BD8F933">
      <w:pPr>
        <w:numPr>
          <w:ilvl w:val="0"/>
          <w:numId w:val="1"/>
        </w:numPr>
        <w:outlineLvl w:val="0"/>
        <w:rPr>
          <w:rFonts w:ascii="黑体" w:hAnsi="黑体" w:eastAsia="黑体" w:cs="黑体"/>
          <w:sz w:val="28"/>
          <w:szCs w:val="28"/>
        </w:rPr>
      </w:pPr>
      <w:bookmarkStart w:id="22" w:name="_Toc20256"/>
      <w:r>
        <w:rPr>
          <w:rFonts w:hint="eastAsia" w:ascii="黑体" w:hAnsi="黑体" w:eastAsia="黑体" w:cs="黑体"/>
          <w:sz w:val="28"/>
          <w:szCs w:val="28"/>
        </w:rPr>
        <w:t>授课进度与安排</w:t>
      </w:r>
      <w:bookmarkEnd w:id="22"/>
    </w:p>
    <w:p w14:paraId="49804A1F">
      <w:pPr>
        <w:pStyle w:val="2"/>
        <w:jc w:val="center"/>
        <w:rPr>
          <w:rFonts w:ascii="仿宋" w:hAnsi="仿宋" w:eastAsia="仿宋" w:cs="仿宋"/>
          <w:b/>
          <w:bCs/>
          <w:sz w:val="21"/>
          <w:szCs w:val="21"/>
        </w:rPr>
      </w:pP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表 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begin"/>
      </w:r>
      <w:r>
        <w:rPr>
          <w:rFonts w:hint="eastAsia" w:ascii="仿宋" w:hAnsi="仿宋" w:eastAsia="仿宋" w:cs="仿宋"/>
          <w:b/>
          <w:bCs/>
          <w:sz w:val="21"/>
          <w:szCs w:val="21"/>
        </w:rPr>
        <w:instrText xml:space="preserve"> SEQ 表 \* ARABIC </w:instrTex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separate"/>
      </w:r>
      <w:r>
        <w:rPr>
          <w:rFonts w:hint="eastAsia" w:ascii="仿宋" w:hAnsi="仿宋" w:eastAsia="仿宋" w:cs="仿宋"/>
          <w:b/>
          <w:bCs/>
          <w:sz w:val="21"/>
          <w:szCs w:val="21"/>
        </w:rPr>
        <w:t>6</w:t>
      </w:r>
      <w:r>
        <w:rPr>
          <w:rFonts w:hint="eastAsia" w:ascii="仿宋" w:hAnsi="仿宋" w:eastAsia="仿宋" w:cs="仿宋"/>
          <w:b/>
          <w:bCs/>
          <w:sz w:val="21"/>
          <w:szCs w:val="21"/>
        </w:rPr>
        <w:fldChar w:fldCharType="end"/>
      </w:r>
      <w:r>
        <w:rPr>
          <w:rFonts w:hint="eastAsia" w:ascii="仿宋" w:hAnsi="仿宋" w:eastAsia="仿宋" w:cs="仿宋"/>
          <w:b/>
          <w:bCs/>
          <w:sz w:val="21"/>
          <w:szCs w:val="21"/>
        </w:rPr>
        <w:t xml:space="preserve"> 授课进度与安排表</w:t>
      </w:r>
    </w:p>
    <w:tbl>
      <w:tblPr>
        <w:tblStyle w:val="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44"/>
        <w:gridCol w:w="4494"/>
        <w:gridCol w:w="1558"/>
      </w:tblGrid>
      <w:tr w14:paraId="1DC79F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244" w:type="dxa"/>
            <w:vAlign w:val="center"/>
          </w:tcPr>
          <w:p w14:paraId="66ADA40E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</w:p>
        </w:tc>
        <w:tc>
          <w:tcPr>
            <w:tcW w:w="4494" w:type="dxa"/>
            <w:vAlign w:val="center"/>
          </w:tcPr>
          <w:p w14:paraId="7AEF7528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任务</w:t>
            </w:r>
          </w:p>
        </w:tc>
        <w:tc>
          <w:tcPr>
            <w:tcW w:w="1558" w:type="dxa"/>
            <w:vAlign w:val="center"/>
          </w:tcPr>
          <w:p w14:paraId="2D322A31">
            <w:pPr>
              <w:jc w:val="center"/>
              <w:rPr>
                <w:rFonts w:ascii="仿宋" w:hAnsi="仿宋" w:eastAsia="仿宋" w:cs="仿宋"/>
                <w:b/>
                <w:bCs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学时</w:t>
            </w:r>
          </w:p>
        </w:tc>
      </w:tr>
      <w:tr w14:paraId="231BCD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2244" w:type="dxa"/>
            <w:vAlign w:val="center"/>
          </w:tcPr>
          <w:p w14:paraId="530B2898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项目一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数控车床基础</w:t>
            </w:r>
          </w:p>
        </w:tc>
        <w:tc>
          <w:tcPr>
            <w:tcW w:w="4494" w:type="dxa"/>
            <w:vAlign w:val="center"/>
          </w:tcPr>
          <w:p w14:paraId="6A0A86E5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任务1数控车床基础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知识</w:t>
            </w:r>
          </w:p>
        </w:tc>
        <w:tc>
          <w:tcPr>
            <w:tcW w:w="1558" w:type="dxa"/>
            <w:vAlign w:val="center"/>
          </w:tcPr>
          <w:p w14:paraId="61217BCE">
            <w:pPr>
              <w:jc w:val="center"/>
              <w:rPr>
                <w:rFonts w:hint="eastAsia" w:ascii="仿宋" w:hAnsi="仿宋" w:eastAsia="仿宋" w:cs="仿宋"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6</w:t>
            </w:r>
          </w:p>
        </w:tc>
      </w:tr>
      <w:tr w14:paraId="14DA5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 w14:paraId="417E506B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二、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数控车床编程基础知识</w:t>
            </w:r>
          </w:p>
        </w:tc>
        <w:tc>
          <w:tcPr>
            <w:tcW w:w="4494" w:type="dxa"/>
            <w:shd w:val="clear" w:color="auto" w:fill="FFFFFF"/>
            <w:vAlign w:val="center"/>
          </w:tcPr>
          <w:p w14:paraId="0BA16F3E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Cs w:val="21"/>
              </w:rPr>
              <w:t>数控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车床编程的基本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知识</w:t>
            </w:r>
          </w:p>
        </w:tc>
        <w:tc>
          <w:tcPr>
            <w:tcW w:w="1558" w:type="dxa"/>
            <w:shd w:val="clear" w:color="auto" w:fill="FFFFFF"/>
            <w:vAlign w:val="center"/>
          </w:tcPr>
          <w:p w14:paraId="57267ADF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12</w:t>
            </w:r>
          </w:p>
        </w:tc>
      </w:tr>
      <w:tr w14:paraId="67896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 w14:paraId="3DD1A4E1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三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轴类零件的编程与加工</w:t>
            </w:r>
          </w:p>
        </w:tc>
        <w:tc>
          <w:tcPr>
            <w:tcW w:w="4494" w:type="dxa"/>
            <w:shd w:val="clear" w:color="auto" w:fill="FFFFFF"/>
            <w:vAlign w:val="center"/>
          </w:tcPr>
          <w:p w14:paraId="15B5BDD8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Cs w:val="21"/>
                <w:lang w:bidi="ar"/>
              </w:rPr>
              <w:t>简单轴类零件的编程与加工</w:t>
            </w:r>
          </w:p>
        </w:tc>
        <w:tc>
          <w:tcPr>
            <w:tcW w:w="1558" w:type="dxa"/>
            <w:shd w:val="clear" w:color="auto" w:fill="FFFFFF"/>
            <w:vAlign w:val="center"/>
          </w:tcPr>
          <w:p w14:paraId="53236147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30</w:t>
            </w:r>
          </w:p>
        </w:tc>
      </w:tr>
      <w:tr w14:paraId="4261D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 w14:paraId="0574DF3B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四、内孔加工</w:t>
            </w:r>
          </w:p>
        </w:tc>
        <w:tc>
          <w:tcPr>
            <w:tcW w:w="4494" w:type="dxa"/>
            <w:shd w:val="clear" w:color="auto" w:fill="FFFFFF"/>
            <w:vAlign w:val="center"/>
          </w:tcPr>
          <w:p w14:paraId="343768A2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szCs w:val="21"/>
                <w:lang w:eastAsia="zh-CN"/>
              </w:rPr>
              <w:t>内孔加工</w:t>
            </w:r>
          </w:p>
        </w:tc>
        <w:tc>
          <w:tcPr>
            <w:tcW w:w="1558" w:type="dxa"/>
            <w:shd w:val="clear" w:color="auto" w:fill="FFFFFF"/>
            <w:vAlign w:val="center"/>
          </w:tcPr>
          <w:p w14:paraId="1FB3A738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24</w:t>
            </w:r>
          </w:p>
        </w:tc>
      </w:tr>
      <w:tr w14:paraId="136006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 w14:paraId="7C2AC40D"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五、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Cs w:val="21"/>
                <w:lang w:bidi="ar"/>
              </w:rPr>
              <w:t>螺纹加工</w:t>
            </w:r>
          </w:p>
        </w:tc>
        <w:tc>
          <w:tcPr>
            <w:tcW w:w="4494" w:type="dxa"/>
            <w:shd w:val="clear" w:color="auto" w:fill="FFFFFF"/>
            <w:vAlign w:val="center"/>
          </w:tcPr>
          <w:p w14:paraId="426398E9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color w:val="000000"/>
                <w:kern w:val="0"/>
                <w:szCs w:val="21"/>
                <w:lang w:bidi="ar"/>
              </w:rPr>
              <w:t>螺纹加工</w:t>
            </w:r>
          </w:p>
        </w:tc>
        <w:tc>
          <w:tcPr>
            <w:tcW w:w="1558" w:type="dxa"/>
            <w:shd w:val="clear" w:color="auto" w:fill="FFFFFF"/>
            <w:vAlign w:val="center"/>
          </w:tcPr>
          <w:p w14:paraId="238083A6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12</w:t>
            </w:r>
          </w:p>
        </w:tc>
      </w:tr>
      <w:tr w14:paraId="154778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4" w:hRule="atLeast"/>
          <w:jc w:val="center"/>
        </w:trPr>
        <w:tc>
          <w:tcPr>
            <w:tcW w:w="2244" w:type="dxa"/>
            <w:shd w:val="clear" w:color="auto" w:fill="FFFFFF"/>
            <w:vAlign w:val="center"/>
          </w:tcPr>
          <w:p w14:paraId="19D9339C">
            <w:pPr>
              <w:jc w:val="center"/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</w:pP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项目</w:t>
            </w:r>
            <w:r>
              <w:rPr>
                <w:rFonts w:hint="eastAsia" w:ascii="仿宋" w:hAnsi="仿宋" w:eastAsia="仿宋" w:cs="仿宋"/>
                <w:b/>
                <w:bCs/>
                <w:szCs w:val="21"/>
                <w:lang w:eastAsia="zh-CN"/>
              </w:rPr>
              <w:t>六、综合件加工</w:t>
            </w:r>
          </w:p>
        </w:tc>
        <w:tc>
          <w:tcPr>
            <w:tcW w:w="4494" w:type="dxa"/>
            <w:shd w:val="clear" w:color="auto" w:fill="FFFFFF"/>
            <w:vAlign w:val="center"/>
          </w:tcPr>
          <w:p w14:paraId="48983468">
            <w:pPr>
              <w:jc w:val="center"/>
              <w:rPr>
                <w:rFonts w:hint="eastAsia" w:ascii="仿宋" w:hAnsi="仿宋" w:eastAsia="仿宋" w:cs="仿宋"/>
                <w:b w:val="0"/>
                <w:bCs w:val="0"/>
                <w:szCs w:val="21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szCs w:val="21"/>
              </w:rPr>
              <w:t>任务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val="en-US" w:eastAsia="zh-CN"/>
              </w:rPr>
              <w:t>1</w:t>
            </w:r>
            <w:r>
              <w:rPr>
                <w:rFonts w:hint="eastAsia" w:ascii="仿宋" w:hAnsi="仿宋" w:eastAsia="仿宋" w:cs="仿宋"/>
                <w:b w:val="0"/>
                <w:bCs w:val="0"/>
                <w:szCs w:val="21"/>
                <w:lang w:eastAsia="zh-CN"/>
              </w:rPr>
              <w:t>综合件加工</w:t>
            </w:r>
          </w:p>
        </w:tc>
        <w:tc>
          <w:tcPr>
            <w:tcW w:w="1558" w:type="dxa"/>
            <w:shd w:val="clear" w:color="auto" w:fill="FFFFFF"/>
            <w:vAlign w:val="center"/>
          </w:tcPr>
          <w:p w14:paraId="3F9038FA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36</w:t>
            </w:r>
          </w:p>
        </w:tc>
      </w:tr>
      <w:tr w14:paraId="0AC6B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6738" w:type="dxa"/>
            <w:gridSpan w:val="2"/>
            <w:vAlign w:val="center"/>
          </w:tcPr>
          <w:p w14:paraId="302FC98F">
            <w:pPr>
              <w:jc w:val="center"/>
              <w:rPr>
                <w:rFonts w:ascii="仿宋" w:hAnsi="仿宋" w:eastAsia="仿宋" w:cs="仿宋"/>
                <w:szCs w:val="21"/>
              </w:rPr>
            </w:pPr>
            <w:r>
              <w:rPr>
                <w:rFonts w:hint="eastAsia" w:ascii="仿宋" w:hAnsi="仿宋" w:eastAsia="仿宋" w:cs="仿宋"/>
                <w:szCs w:val="21"/>
              </w:rPr>
              <w:t>合计</w:t>
            </w:r>
          </w:p>
        </w:tc>
        <w:tc>
          <w:tcPr>
            <w:tcW w:w="1558" w:type="dxa"/>
            <w:vAlign w:val="center"/>
          </w:tcPr>
          <w:p w14:paraId="5C174E1A">
            <w:pPr>
              <w:jc w:val="center"/>
              <w:rPr>
                <w:rFonts w:hint="default" w:ascii="仿宋" w:hAnsi="仿宋" w:eastAsia="仿宋" w:cs="仿宋"/>
                <w:szCs w:val="21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Cs w:val="21"/>
                <w:lang w:val="en-US" w:eastAsia="zh-CN"/>
              </w:rPr>
              <w:t>120</w:t>
            </w:r>
          </w:p>
        </w:tc>
      </w:tr>
    </w:tbl>
    <w:p w14:paraId="4E981664">
      <w:pPr>
        <w:ind w:left="420"/>
        <w:outlineLvl w:val="0"/>
        <w:rPr>
          <w:rFonts w:ascii="黑体" w:hAnsi="黑体" w:eastAsia="黑体" w:cs="黑体"/>
          <w:sz w:val="28"/>
          <w:szCs w:val="28"/>
        </w:rPr>
      </w:pPr>
    </w:p>
    <w:sectPr>
      <w:footerReference r:id="rId4" w:type="default"/>
      <w:pgSz w:w="11906" w:h="16838"/>
      <w:pgMar w:top="1440" w:right="1800" w:bottom="1440" w:left="1800" w:header="851" w:footer="992" w:gutter="0"/>
      <w:pgNumType w:fmt="decimal"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83CEDA7"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C2616A5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14FBC4A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GA044yAgAAYQQAAA4AAABkcnMvZTJvRG9jLnhtbK1UzY7TMBC+I/EO&#10;lu80aStW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pm/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4YDTjj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14FBC4A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6446159"/>
    <w:multiLevelType w:val="singleLevel"/>
    <w:tmpl w:val="C6446159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1">
    <w:nsid w:val="C89D55F4"/>
    <w:multiLevelType w:val="singleLevel"/>
    <w:tmpl w:val="C89D55F4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2">
    <w:nsid w:val="1D679981"/>
    <w:multiLevelType w:val="singleLevel"/>
    <w:tmpl w:val="1D679981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3">
    <w:nsid w:val="251F15DD"/>
    <w:multiLevelType w:val="singleLevel"/>
    <w:tmpl w:val="251F15DD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493811AD"/>
    <w:multiLevelType w:val="singleLevel"/>
    <w:tmpl w:val="493811AD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5">
    <w:nsid w:val="6B4FBDEC"/>
    <w:multiLevelType w:val="singleLevel"/>
    <w:tmpl w:val="6B4FBDE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zYTRmMDMzODkxY2EwZWE1ZmYwZTcxNDgzY2NlY2EifQ=="/>
  </w:docVars>
  <w:rsids>
    <w:rsidRoot w:val="00F93C2D"/>
    <w:rsid w:val="00005459"/>
    <w:rsid w:val="00015A70"/>
    <w:rsid w:val="000207E2"/>
    <w:rsid w:val="000349F8"/>
    <w:rsid w:val="00034C29"/>
    <w:rsid w:val="000407BB"/>
    <w:rsid w:val="0006364D"/>
    <w:rsid w:val="00085923"/>
    <w:rsid w:val="000A135B"/>
    <w:rsid w:val="000A7B8A"/>
    <w:rsid w:val="000B1628"/>
    <w:rsid w:val="000C4F78"/>
    <w:rsid w:val="000D59B6"/>
    <w:rsid w:val="000E4DCD"/>
    <w:rsid w:val="000E5721"/>
    <w:rsid w:val="0010109B"/>
    <w:rsid w:val="00127E35"/>
    <w:rsid w:val="00133BAB"/>
    <w:rsid w:val="0013482D"/>
    <w:rsid w:val="00135131"/>
    <w:rsid w:val="00135C14"/>
    <w:rsid w:val="00146FE4"/>
    <w:rsid w:val="0015277B"/>
    <w:rsid w:val="001722C7"/>
    <w:rsid w:val="00177A13"/>
    <w:rsid w:val="00184304"/>
    <w:rsid w:val="00186AA1"/>
    <w:rsid w:val="00191310"/>
    <w:rsid w:val="0019133B"/>
    <w:rsid w:val="001B303A"/>
    <w:rsid w:val="001C13B7"/>
    <w:rsid w:val="001C1C85"/>
    <w:rsid w:val="001D225D"/>
    <w:rsid w:val="001D4919"/>
    <w:rsid w:val="001F0E57"/>
    <w:rsid w:val="001F4441"/>
    <w:rsid w:val="002045AB"/>
    <w:rsid w:val="00212A9E"/>
    <w:rsid w:val="002211E2"/>
    <w:rsid w:val="00223F75"/>
    <w:rsid w:val="00256003"/>
    <w:rsid w:val="0026485D"/>
    <w:rsid w:val="0028436A"/>
    <w:rsid w:val="002B7C6D"/>
    <w:rsid w:val="002C07AB"/>
    <w:rsid w:val="002D60D0"/>
    <w:rsid w:val="002E7F8B"/>
    <w:rsid w:val="002F7D6A"/>
    <w:rsid w:val="002F7F2B"/>
    <w:rsid w:val="00314AE4"/>
    <w:rsid w:val="003165E4"/>
    <w:rsid w:val="00326E6C"/>
    <w:rsid w:val="00327BA2"/>
    <w:rsid w:val="003324D8"/>
    <w:rsid w:val="003468F1"/>
    <w:rsid w:val="00347B9F"/>
    <w:rsid w:val="0035156D"/>
    <w:rsid w:val="00363A4C"/>
    <w:rsid w:val="00365116"/>
    <w:rsid w:val="00365789"/>
    <w:rsid w:val="00376106"/>
    <w:rsid w:val="003773C8"/>
    <w:rsid w:val="00382D45"/>
    <w:rsid w:val="00392D59"/>
    <w:rsid w:val="00393B19"/>
    <w:rsid w:val="00394D19"/>
    <w:rsid w:val="0039525E"/>
    <w:rsid w:val="003A20A2"/>
    <w:rsid w:val="003A4AC4"/>
    <w:rsid w:val="003A57ED"/>
    <w:rsid w:val="003B789D"/>
    <w:rsid w:val="003C18C3"/>
    <w:rsid w:val="003C2E16"/>
    <w:rsid w:val="003E10F4"/>
    <w:rsid w:val="004220AF"/>
    <w:rsid w:val="00446E51"/>
    <w:rsid w:val="00460878"/>
    <w:rsid w:val="00461B4D"/>
    <w:rsid w:val="00461C39"/>
    <w:rsid w:val="004704ED"/>
    <w:rsid w:val="00490C5E"/>
    <w:rsid w:val="004911F6"/>
    <w:rsid w:val="00493D04"/>
    <w:rsid w:val="0049762B"/>
    <w:rsid w:val="004A39DF"/>
    <w:rsid w:val="004A6902"/>
    <w:rsid w:val="004B2D9C"/>
    <w:rsid w:val="004C5D63"/>
    <w:rsid w:val="004D1E96"/>
    <w:rsid w:val="004D20A6"/>
    <w:rsid w:val="004D280C"/>
    <w:rsid w:val="004E0522"/>
    <w:rsid w:val="004F497B"/>
    <w:rsid w:val="004F673B"/>
    <w:rsid w:val="00501F3D"/>
    <w:rsid w:val="00507912"/>
    <w:rsid w:val="00522AA3"/>
    <w:rsid w:val="005369C7"/>
    <w:rsid w:val="00537FDA"/>
    <w:rsid w:val="00554298"/>
    <w:rsid w:val="005573F7"/>
    <w:rsid w:val="00562884"/>
    <w:rsid w:val="00567CCA"/>
    <w:rsid w:val="00585FFA"/>
    <w:rsid w:val="0059012C"/>
    <w:rsid w:val="00595C07"/>
    <w:rsid w:val="005B0053"/>
    <w:rsid w:val="005B544C"/>
    <w:rsid w:val="005B67CF"/>
    <w:rsid w:val="005C0556"/>
    <w:rsid w:val="005C0D02"/>
    <w:rsid w:val="005C0F71"/>
    <w:rsid w:val="005C5083"/>
    <w:rsid w:val="005D29BD"/>
    <w:rsid w:val="005D787C"/>
    <w:rsid w:val="005E4161"/>
    <w:rsid w:val="005E69BD"/>
    <w:rsid w:val="005F3CEE"/>
    <w:rsid w:val="006038D9"/>
    <w:rsid w:val="0060797C"/>
    <w:rsid w:val="006147A3"/>
    <w:rsid w:val="00624CD2"/>
    <w:rsid w:val="00630220"/>
    <w:rsid w:val="00632430"/>
    <w:rsid w:val="00635025"/>
    <w:rsid w:val="006354D2"/>
    <w:rsid w:val="006438C1"/>
    <w:rsid w:val="00643AE4"/>
    <w:rsid w:val="00651E34"/>
    <w:rsid w:val="00666E7D"/>
    <w:rsid w:val="00677E39"/>
    <w:rsid w:val="0069626E"/>
    <w:rsid w:val="006A025E"/>
    <w:rsid w:val="006A1F9D"/>
    <w:rsid w:val="006A7B65"/>
    <w:rsid w:val="006B2661"/>
    <w:rsid w:val="006C5E51"/>
    <w:rsid w:val="006D0994"/>
    <w:rsid w:val="006D13D2"/>
    <w:rsid w:val="006D320A"/>
    <w:rsid w:val="006D7F55"/>
    <w:rsid w:val="006E062A"/>
    <w:rsid w:val="006E3B6D"/>
    <w:rsid w:val="00701048"/>
    <w:rsid w:val="007036DD"/>
    <w:rsid w:val="00705323"/>
    <w:rsid w:val="00730826"/>
    <w:rsid w:val="007340FA"/>
    <w:rsid w:val="00734E72"/>
    <w:rsid w:val="007352AD"/>
    <w:rsid w:val="00735BE5"/>
    <w:rsid w:val="007368C0"/>
    <w:rsid w:val="007427F9"/>
    <w:rsid w:val="007461D4"/>
    <w:rsid w:val="00757CCA"/>
    <w:rsid w:val="00762C70"/>
    <w:rsid w:val="007739B8"/>
    <w:rsid w:val="00773C21"/>
    <w:rsid w:val="007846DB"/>
    <w:rsid w:val="007A4501"/>
    <w:rsid w:val="007B1709"/>
    <w:rsid w:val="007B209C"/>
    <w:rsid w:val="007C16FD"/>
    <w:rsid w:val="007C751D"/>
    <w:rsid w:val="007D1966"/>
    <w:rsid w:val="007E524B"/>
    <w:rsid w:val="007F0A60"/>
    <w:rsid w:val="007F76C1"/>
    <w:rsid w:val="008021C0"/>
    <w:rsid w:val="008043F8"/>
    <w:rsid w:val="00826D52"/>
    <w:rsid w:val="00826E28"/>
    <w:rsid w:val="00827E8D"/>
    <w:rsid w:val="008402F3"/>
    <w:rsid w:val="00845441"/>
    <w:rsid w:val="0088764B"/>
    <w:rsid w:val="008B3F5A"/>
    <w:rsid w:val="008B5895"/>
    <w:rsid w:val="008C40AB"/>
    <w:rsid w:val="008D2107"/>
    <w:rsid w:val="008E7B35"/>
    <w:rsid w:val="008F01F0"/>
    <w:rsid w:val="008F4689"/>
    <w:rsid w:val="008F47BC"/>
    <w:rsid w:val="00901D25"/>
    <w:rsid w:val="00904113"/>
    <w:rsid w:val="00920D0E"/>
    <w:rsid w:val="00947C65"/>
    <w:rsid w:val="009508E5"/>
    <w:rsid w:val="00960CF4"/>
    <w:rsid w:val="009627A6"/>
    <w:rsid w:val="009733A7"/>
    <w:rsid w:val="009761C3"/>
    <w:rsid w:val="0097689D"/>
    <w:rsid w:val="00982D1A"/>
    <w:rsid w:val="009A6E21"/>
    <w:rsid w:val="009B13C8"/>
    <w:rsid w:val="009B64A9"/>
    <w:rsid w:val="009C5B27"/>
    <w:rsid w:val="00A02C6C"/>
    <w:rsid w:val="00A03703"/>
    <w:rsid w:val="00A16F9E"/>
    <w:rsid w:val="00A175B9"/>
    <w:rsid w:val="00A22559"/>
    <w:rsid w:val="00A22808"/>
    <w:rsid w:val="00A27EAC"/>
    <w:rsid w:val="00A35BC0"/>
    <w:rsid w:val="00A62490"/>
    <w:rsid w:val="00A83ACB"/>
    <w:rsid w:val="00A87C92"/>
    <w:rsid w:val="00AA10BB"/>
    <w:rsid w:val="00AA38AE"/>
    <w:rsid w:val="00AA3AAE"/>
    <w:rsid w:val="00AC63A4"/>
    <w:rsid w:val="00AC7069"/>
    <w:rsid w:val="00AC7F6E"/>
    <w:rsid w:val="00AE108F"/>
    <w:rsid w:val="00AE28B8"/>
    <w:rsid w:val="00AE4C38"/>
    <w:rsid w:val="00AF16BE"/>
    <w:rsid w:val="00AF2AA3"/>
    <w:rsid w:val="00AF3FB5"/>
    <w:rsid w:val="00B0004B"/>
    <w:rsid w:val="00B02684"/>
    <w:rsid w:val="00B10F0D"/>
    <w:rsid w:val="00B170C1"/>
    <w:rsid w:val="00B22333"/>
    <w:rsid w:val="00B27A33"/>
    <w:rsid w:val="00B32337"/>
    <w:rsid w:val="00B33372"/>
    <w:rsid w:val="00B34358"/>
    <w:rsid w:val="00B37C66"/>
    <w:rsid w:val="00B44FBB"/>
    <w:rsid w:val="00B516AE"/>
    <w:rsid w:val="00B523C3"/>
    <w:rsid w:val="00B77826"/>
    <w:rsid w:val="00B86083"/>
    <w:rsid w:val="00B9408C"/>
    <w:rsid w:val="00BA0707"/>
    <w:rsid w:val="00BA34DF"/>
    <w:rsid w:val="00BB4F59"/>
    <w:rsid w:val="00BC1117"/>
    <w:rsid w:val="00BD38C6"/>
    <w:rsid w:val="00BD5024"/>
    <w:rsid w:val="00BD51F0"/>
    <w:rsid w:val="00BD542D"/>
    <w:rsid w:val="00BF2547"/>
    <w:rsid w:val="00BF4066"/>
    <w:rsid w:val="00BF5A74"/>
    <w:rsid w:val="00C116AD"/>
    <w:rsid w:val="00C20D79"/>
    <w:rsid w:val="00C47DF4"/>
    <w:rsid w:val="00C709DA"/>
    <w:rsid w:val="00C86AB3"/>
    <w:rsid w:val="00C90009"/>
    <w:rsid w:val="00C93B99"/>
    <w:rsid w:val="00C97E6C"/>
    <w:rsid w:val="00CB4FF3"/>
    <w:rsid w:val="00CD7356"/>
    <w:rsid w:val="00CE7C21"/>
    <w:rsid w:val="00CF08C4"/>
    <w:rsid w:val="00CF4D0E"/>
    <w:rsid w:val="00D03C29"/>
    <w:rsid w:val="00D11164"/>
    <w:rsid w:val="00D12743"/>
    <w:rsid w:val="00D13B9C"/>
    <w:rsid w:val="00D15759"/>
    <w:rsid w:val="00D15B31"/>
    <w:rsid w:val="00D231E6"/>
    <w:rsid w:val="00D23DF3"/>
    <w:rsid w:val="00D44160"/>
    <w:rsid w:val="00D444D8"/>
    <w:rsid w:val="00D527D8"/>
    <w:rsid w:val="00D5736A"/>
    <w:rsid w:val="00D60504"/>
    <w:rsid w:val="00D6383C"/>
    <w:rsid w:val="00D65C92"/>
    <w:rsid w:val="00D70A92"/>
    <w:rsid w:val="00D81529"/>
    <w:rsid w:val="00D90CBC"/>
    <w:rsid w:val="00DA6C6A"/>
    <w:rsid w:val="00DB44B6"/>
    <w:rsid w:val="00DC3895"/>
    <w:rsid w:val="00DC62A9"/>
    <w:rsid w:val="00DD2004"/>
    <w:rsid w:val="00DD4756"/>
    <w:rsid w:val="00DE3BCA"/>
    <w:rsid w:val="00DE4FA1"/>
    <w:rsid w:val="00DF4364"/>
    <w:rsid w:val="00E01BCF"/>
    <w:rsid w:val="00E0495E"/>
    <w:rsid w:val="00E103E8"/>
    <w:rsid w:val="00E24F74"/>
    <w:rsid w:val="00E25482"/>
    <w:rsid w:val="00E311B9"/>
    <w:rsid w:val="00E345C3"/>
    <w:rsid w:val="00E37153"/>
    <w:rsid w:val="00E469E9"/>
    <w:rsid w:val="00E474A2"/>
    <w:rsid w:val="00E56A55"/>
    <w:rsid w:val="00E66426"/>
    <w:rsid w:val="00E67C7D"/>
    <w:rsid w:val="00E73C29"/>
    <w:rsid w:val="00E94445"/>
    <w:rsid w:val="00E97F07"/>
    <w:rsid w:val="00EA127D"/>
    <w:rsid w:val="00EC2C9E"/>
    <w:rsid w:val="00ED79DA"/>
    <w:rsid w:val="00EE0520"/>
    <w:rsid w:val="00EE2DB5"/>
    <w:rsid w:val="00EE474F"/>
    <w:rsid w:val="00F04F03"/>
    <w:rsid w:val="00F1101B"/>
    <w:rsid w:val="00F125DF"/>
    <w:rsid w:val="00F13383"/>
    <w:rsid w:val="00F31789"/>
    <w:rsid w:val="00F35CFD"/>
    <w:rsid w:val="00F54AD6"/>
    <w:rsid w:val="00F71475"/>
    <w:rsid w:val="00F93C2D"/>
    <w:rsid w:val="00FA357E"/>
    <w:rsid w:val="00FA75F0"/>
    <w:rsid w:val="00FB6425"/>
    <w:rsid w:val="00FB7221"/>
    <w:rsid w:val="00FC3810"/>
    <w:rsid w:val="00FD0A36"/>
    <w:rsid w:val="00FD5EA3"/>
    <w:rsid w:val="00FE2F87"/>
    <w:rsid w:val="00FE7E57"/>
    <w:rsid w:val="034A614A"/>
    <w:rsid w:val="06B86A37"/>
    <w:rsid w:val="077542B8"/>
    <w:rsid w:val="0F94547B"/>
    <w:rsid w:val="0FDF5034"/>
    <w:rsid w:val="1431041C"/>
    <w:rsid w:val="14507D3E"/>
    <w:rsid w:val="18F51424"/>
    <w:rsid w:val="1E472722"/>
    <w:rsid w:val="1EE22F59"/>
    <w:rsid w:val="1F7532BF"/>
    <w:rsid w:val="23C50DBF"/>
    <w:rsid w:val="2D8D3ECA"/>
    <w:rsid w:val="324C7EAF"/>
    <w:rsid w:val="34C13400"/>
    <w:rsid w:val="3A2F2590"/>
    <w:rsid w:val="3C3025F0"/>
    <w:rsid w:val="42116A20"/>
    <w:rsid w:val="497E053E"/>
    <w:rsid w:val="4B1B26BD"/>
    <w:rsid w:val="4BA7392F"/>
    <w:rsid w:val="50357D7D"/>
    <w:rsid w:val="535A34A8"/>
    <w:rsid w:val="53DF18A3"/>
    <w:rsid w:val="54745291"/>
    <w:rsid w:val="566D6636"/>
    <w:rsid w:val="57F8000E"/>
    <w:rsid w:val="602870D4"/>
    <w:rsid w:val="619E38D7"/>
    <w:rsid w:val="62BD348D"/>
    <w:rsid w:val="657666C0"/>
    <w:rsid w:val="684A0014"/>
    <w:rsid w:val="69C75A92"/>
    <w:rsid w:val="6BC6077A"/>
    <w:rsid w:val="6CF12BBF"/>
    <w:rsid w:val="6D5C4743"/>
    <w:rsid w:val="721970A7"/>
    <w:rsid w:val="726245AA"/>
    <w:rsid w:val="728E53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uiPriority w:val="1"/>
  </w:style>
  <w:style w:type="table" w:default="1" w:styleId="6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caption"/>
    <w:basedOn w:val="1"/>
    <w:next w:val="1"/>
    <w:autoRedefine/>
    <w:semiHidden/>
    <w:unhideWhenUsed/>
    <w:qFormat/>
    <w:uiPriority w:val="0"/>
    <w:rPr>
      <w:rFonts w:ascii="Arial" w:hAnsi="Arial" w:eastAsia="黑体"/>
      <w:sz w:val="20"/>
    </w:r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link w:val="15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4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autoRedefine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9">
    <w:name w:val="Hyperlink"/>
    <w:basedOn w:val="8"/>
    <w:autoRedefine/>
    <w:qFormat/>
    <w:uiPriority w:val="0"/>
    <w:rPr>
      <w:color w:val="0000FF"/>
      <w:u w:val="single"/>
    </w:rPr>
  </w:style>
  <w:style w:type="character" w:styleId="10">
    <w:name w:val="annotation reference"/>
    <w:basedOn w:val="8"/>
    <w:autoRedefine/>
    <w:qFormat/>
    <w:uiPriority w:val="0"/>
    <w:rPr>
      <w:sz w:val="21"/>
      <w:szCs w:val="21"/>
    </w:rPr>
  </w:style>
  <w:style w:type="paragraph" w:customStyle="1" w:styleId="11">
    <w:name w:val="WPSOffice手动目录 1"/>
    <w:autoRedefine/>
    <w:qFormat/>
    <w:uiPriority w:val="0"/>
    <w:rPr>
      <w:rFonts w:ascii="Times New Roman" w:hAnsi="Times New Roman" w:eastAsia="宋体" w:cs="Times New Roman"/>
      <w:lang w:val="en-US" w:eastAsia="zh-CN" w:bidi="ar-SA"/>
    </w:rPr>
  </w:style>
  <w:style w:type="paragraph" w:customStyle="1" w:styleId="12">
    <w:name w:val="WPSOffice手动目录 2"/>
    <w:autoRedefine/>
    <w:qFormat/>
    <w:uiPriority w:val="0"/>
    <w:pPr>
      <w:ind w:left="200" w:leftChars="200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3">
    <w:name w:val="Table Paragraph"/>
    <w:basedOn w:val="1"/>
    <w:autoRedefine/>
    <w:qFormat/>
    <w:uiPriority w:val="1"/>
    <w:pPr>
      <w:jc w:val="left"/>
    </w:pPr>
    <w:rPr>
      <w:rFonts w:ascii="Calibri" w:hAnsi="Calibri" w:eastAsia="宋体" w:cs="Times New Roman"/>
      <w:kern w:val="0"/>
      <w:sz w:val="22"/>
      <w:szCs w:val="22"/>
      <w:lang w:eastAsia="en-US"/>
    </w:rPr>
  </w:style>
  <w:style w:type="character" w:customStyle="1" w:styleId="14">
    <w:name w:val="页眉 Char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5">
    <w:name w:val="页脚 Char"/>
    <w:basedOn w:val="8"/>
    <w:link w:val="4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841897-E4F9-42A0-A1DD-52F44938EE1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11</Pages>
  <Words>4191</Words>
  <Characters>4295</Characters>
  <Lines>30</Lines>
  <Paragraphs>8</Paragraphs>
  <TotalTime>1</TotalTime>
  <ScaleCrop>false</ScaleCrop>
  <LinksUpToDate>false</LinksUpToDate>
  <CharactersWithSpaces>4393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2023-11-13T00:59:00Z</dcterms:created>
  <dc:creator>CMQ</dc:creator>
  <cp:lastModifiedBy>LZX</cp:lastModifiedBy>
  <dcterms:modified xsi:type="dcterms:W3CDTF">2024-06-17T03:14:30Z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53F49C376407414B9AC9C8F956B9B5AB_13</vt:lpwstr>
  </property>
</Properties>
</file>