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49" w:beforeLines="400" w:line="360" w:lineRule="auto"/>
        <w:ind w:firstLine="0" w:firstLineChars="0"/>
        <w:jc w:val="center"/>
        <w:textAlignment w:val="auto"/>
        <w:rPr>
          <w:rFonts w:hint="eastAsia" w:ascii="楷体" w:hAnsi="楷体" w:eastAsia="楷体"/>
          <w:b/>
          <w:bCs/>
          <w:sz w:val="56"/>
          <w:szCs w:val="56"/>
          <w:lang w:val="en-US" w:eastAsia="zh-CN"/>
        </w:rPr>
      </w:pPr>
      <w:bookmarkStart w:id="0" w:name="_Hlk80881458"/>
      <w:bookmarkEnd w:id="0"/>
      <w:bookmarkStart w:id="1" w:name="_Toc10776"/>
      <w:r>
        <w:rPr>
          <w:rFonts w:asciiTheme="minorEastAsia" w:hAnsiTheme="minorEastAsia" w:cstheme="minorEastAsia"/>
          <w:b/>
          <w:bCs/>
          <w:sz w:val="36"/>
          <w:szCs w:val="44"/>
        </w:rPr>
        <w:drawing>
          <wp:inline distT="0" distB="0" distL="0" distR="0">
            <wp:extent cx="1607820" cy="1606550"/>
            <wp:effectExtent l="0" t="0" r="1905"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5" cstate="print">
                      <a:extLst>
                        <a:ext uri="{28A0092B-C50C-407E-A947-70E740481C1C}">
                          <a14:useLocalDpi xmlns:a14="http://schemas.microsoft.com/office/drawing/2010/main" val="0"/>
                        </a:ext>
                      </a:extLst>
                    </a:blip>
                    <a:srcRect l="26467" t="5625" r="27604" b="31118"/>
                    <a:stretch>
                      <a:fillRect/>
                    </a:stretch>
                  </pic:blipFill>
                  <pic:spPr>
                    <a:xfrm>
                      <a:off x="2910205" y="1194435"/>
                      <a:ext cx="1607820" cy="1606550"/>
                    </a:xfrm>
                    <a:prstGeom prst="rect">
                      <a:avLst/>
                    </a:prstGeom>
                    <a:ln>
                      <a:noFill/>
                    </a:ln>
                  </pic:spPr>
                </pic:pic>
              </a:graphicData>
            </a:graphic>
          </wp:inline>
        </w:drawing>
      </w:r>
    </w:p>
    <w:p>
      <w:pPr>
        <w:pStyle w:val="17"/>
        <w:keepNext w:val="0"/>
        <w:keepLines w:val="0"/>
        <w:pageBreakBefore w:val="0"/>
        <w:widowControl w:val="0"/>
        <w:kinsoku/>
        <w:wordWrap/>
        <w:overflowPunct/>
        <w:topLinePunct w:val="0"/>
        <w:autoSpaceDE/>
        <w:autoSpaceDN/>
        <w:bidi w:val="0"/>
        <w:adjustRightInd/>
        <w:snapToGrid/>
        <w:spacing w:before="0" w:beforeLines="-2147483648" w:after="0" w:afterLines="-2147483648" w:afterAutospacing="0" w:line="240" w:lineRule="auto"/>
        <w:ind w:firstLine="0" w:firstLineChars="0"/>
        <w:jc w:val="center"/>
        <w:textAlignment w:val="auto"/>
        <w:outlineLvl w:val="0"/>
        <w:rPr>
          <w:rFonts w:hint="eastAsia" w:ascii="黑体" w:hAnsi="黑体" w:eastAsia="黑体" w:cs="黑体"/>
          <w:b/>
          <w:kern w:val="2"/>
          <w:sz w:val="52"/>
          <w:szCs w:val="52"/>
          <w:shd w:val="clear" w:color="auto" w:fill="FFFFFF"/>
          <w:lang w:val="en-US" w:eastAsia="zh-CN" w:bidi="ar-SA"/>
        </w:rPr>
      </w:pPr>
      <w:bookmarkStart w:id="2" w:name="_Toc22228"/>
      <w:r>
        <w:rPr>
          <w:rFonts w:hint="eastAsia" w:ascii="华文行楷" w:hAnsi="华文行楷" w:eastAsia="华文行楷" w:cs="华文行楷"/>
          <w:b w:val="0"/>
          <w:bCs w:val="0"/>
          <w:kern w:val="2"/>
          <w:sz w:val="72"/>
          <w:szCs w:val="144"/>
          <w:lang w:val="en-US" w:eastAsia="zh-CN" w:bidi="ar-SA"/>
        </w:rPr>
        <w:t>阳江市第一职业技术学校</w:t>
      </w:r>
      <w:bookmarkEnd w:id="2"/>
    </w:p>
    <w:p>
      <w:pPr>
        <w:spacing w:before="1560" w:beforeLines="500" w:line="360" w:lineRule="auto"/>
        <w:ind w:firstLine="0" w:firstLineChars="0"/>
        <w:jc w:val="center"/>
        <w:outlineLvl w:val="0"/>
        <w:rPr>
          <w:rFonts w:hint="eastAsia" w:ascii="黑体" w:hAnsi="黑体" w:eastAsia="黑体" w:cs="黑体"/>
          <w:b/>
          <w:sz w:val="56"/>
          <w:szCs w:val="56"/>
          <w:shd w:val="clear" w:color="auto" w:fill="FFFFFF"/>
          <w:lang w:val="en-US" w:eastAsia="zh-CN"/>
        </w:rPr>
      </w:pPr>
      <w:bookmarkStart w:id="3" w:name="_Toc5757"/>
      <w:bookmarkStart w:id="4" w:name="_Toc3655"/>
      <w:bookmarkStart w:id="5" w:name="_Toc28060"/>
      <w:bookmarkStart w:id="6" w:name="_Toc20710"/>
      <w:bookmarkStart w:id="7" w:name="_Toc12712"/>
      <w:r>
        <w:rPr>
          <w:rFonts w:hint="eastAsia" w:ascii="黑体" w:hAnsi="黑体" w:eastAsia="黑体" w:cs="黑体"/>
          <w:b/>
          <w:sz w:val="56"/>
          <w:szCs w:val="56"/>
          <w:shd w:val="clear" w:color="auto" w:fill="FFFFFF"/>
          <w:lang w:val="en-US" w:eastAsia="zh-CN"/>
        </w:rPr>
        <w:t>计算机平面设计</w:t>
      </w:r>
      <w:r>
        <w:rPr>
          <w:rFonts w:hint="eastAsia" w:ascii="黑体" w:hAnsi="黑体" w:eastAsia="黑体" w:cs="黑体"/>
          <w:b/>
          <w:sz w:val="56"/>
          <w:szCs w:val="56"/>
          <w:shd w:val="clear" w:color="auto" w:fill="FFFFFF"/>
        </w:rPr>
        <w:t>专业</w:t>
      </w:r>
      <w:bookmarkEnd w:id="3"/>
      <w:bookmarkEnd w:id="4"/>
      <w:bookmarkEnd w:id="5"/>
      <w:bookmarkEnd w:id="6"/>
      <w:bookmarkStart w:id="8" w:name="_Toc16418"/>
      <w:bookmarkStart w:id="9" w:name="_Toc5591"/>
      <w:r>
        <w:rPr>
          <w:rFonts w:hint="eastAsia" w:ascii="黑体" w:hAnsi="黑体" w:eastAsia="黑体" w:cs="黑体"/>
          <w:b/>
          <w:sz w:val="56"/>
          <w:szCs w:val="56"/>
          <w:shd w:val="clear" w:color="auto" w:fill="FFFFFF"/>
          <w:lang w:val="en-US" w:eastAsia="zh-CN"/>
        </w:rPr>
        <w:t>人才培养方案</w:t>
      </w:r>
      <w:bookmarkEnd w:id="7"/>
      <w:bookmarkEnd w:id="8"/>
      <w:bookmarkEnd w:id="9"/>
    </w:p>
    <w:p>
      <w:pPr>
        <w:pStyle w:val="2"/>
        <w:keepNext w:val="0"/>
        <w:keepLines w:val="0"/>
        <w:pageBreakBefore w:val="0"/>
        <w:widowControl w:val="0"/>
        <w:kinsoku/>
        <w:wordWrap/>
        <w:overflowPunct/>
        <w:topLinePunct w:val="0"/>
        <w:autoSpaceDE/>
        <w:autoSpaceDN/>
        <w:bidi w:val="0"/>
        <w:adjustRightInd/>
        <w:snapToGrid/>
        <w:spacing w:before="3121" w:beforeLines="1000"/>
        <w:ind w:firstLine="0"/>
        <w:jc w:val="center"/>
        <w:textAlignment w:val="auto"/>
        <w:rPr>
          <w:rFonts w:hint="default"/>
          <w:b w:val="0"/>
          <w:bCs/>
          <w:sz w:val="28"/>
          <w:szCs w:val="28"/>
          <w:lang w:val="en-US" w:eastAsia="zh-CN"/>
        </w:rPr>
      </w:pPr>
      <w:r>
        <w:rPr>
          <w:rFonts w:hint="eastAsia" w:ascii="黑体" w:hAnsi="黑体" w:eastAsia="黑体" w:cs="黑体"/>
          <w:b w:val="0"/>
          <w:bCs/>
          <w:sz w:val="28"/>
          <w:szCs w:val="28"/>
          <w:shd w:val="clear" w:color="auto" w:fill="FFFFFF"/>
          <w:lang w:val="en-US" w:eastAsia="zh-CN"/>
        </w:rPr>
        <w:t>2023年5月</w:t>
      </w:r>
    </w:p>
    <w:p>
      <w:pPr>
        <w:keepNext w:val="0"/>
        <w:keepLines w:val="0"/>
        <w:pageBreakBefore w:val="0"/>
        <w:widowControl w:val="0"/>
        <w:kinsoku/>
        <w:wordWrap/>
        <w:overflowPunct/>
        <w:topLinePunct w:val="0"/>
        <w:autoSpaceDE/>
        <w:autoSpaceDN/>
        <w:bidi w:val="0"/>
        <w:adjustRightInd/>
        <w:snapToGrid/>
        <w:spacing w:before="3745" w:beforeLines="1200"/>
        <w:ind w:firstLine="0" w:firstLineChars="0"/>
        <w:jc w:val="center"/>
        <w:textAlignment w:val="auto"/>
        <w:rPr>
          <w:rFonts w:hint="eastAsia" w:asciiTheme="minorEastAsia" w:hAnsiTheme="minorEastAsia" w:eastAsiaTheme="minorEastAsia" w:cstheme="minorEastAsia"/>
          <w:b/>
          <w:sz w:val="36"/>
          <w:szCs w:val="36"/>
          <w:shd w:val="clear" w:color="auto" w:fill="FFFFFF"/>
          <w:lang w:val="en-US" w:eastAsia="zh-CN"/>
        </w:rPr>
        <w:sectPr>
          <w:pgSz w:w="12240" w:h="15840"/>
          <w:pgMar w:top="1440" w:right="1800" w:bottom="1440" w:left="1800" w:header="720" w:footer="720"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heme="minorBidi"/>
          <w:kern w:val="2"/>
          <w:sz w:val="21"/>
          <w:szCs w:val="24"/>
          <w:lang w:val="en-US" w:eastAsia="zh-CN" w:bidi="ar-SA"/>
        </w:rPr>
        <w:id w:val="147481602"/>
        <w15:color w:val="DBDBDB"/>
        <w:docPartObj>
          <w:docPartGallery w:val="Table of Contents"/>
          <w:docPartUnique/>
        </w:docPartObj>
      </w:sdtPr>
      <w:sdtEndPr>
        <w:rPr>
          <w:rFonts w:hint="eastAsia" w:asciiTheme="minorHAnsi" w:hAnsiTheme="minorHAnsi" w:eastAsiaTheme="minorEastAsia" w:cstheme="minorBidi"/>
          <w:b/>
          <w:bCs/>
          <w:color w:val="auto"/>
          <w:kern w:val="2"/>
          <w:sz w:val="21"/>
          <w:szCs w:val="40"/>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rPr>
              <w:rFonts w:ascii="宋体" w:hAnsi="宋体" w:eastAsia="宋体" w:cstheme="minorBidi"/>
              <w:kern w:val="2"/>
              <w:sz w:val="21"/>
              <w:szCs w:val="24"/>
              <w:lang w:val="en-US" w:eastAsia="zh-CN" w:bidi="ar-SA"/>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701"/>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sz w:val="28"/>
                    <w:szCs w:val="28"/>
                  </w:rPr>
                  <w:br w:type="page"/>
                </w:r>
                <w:r>
                  <w:rPr>
                    <w:rFonts w:hint="eastAsia"/>
                    <w:sz w:val="28"/>
                    <w:szCs w:val="28"/>
                  </w:rPr>
                  <w:t>专业名称</w:t>
                </w:r>
              </w:p>
            </w:tc>
            <w:tc>
              <w:tcPr>
                <w:tcW w:w="55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jc w:val="left"/>
                  <w:textAlignment w:val="auto"/>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计算机平面设计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rFonts w:hint="eastAsia"/>
                    <w:sz w:val="28"/>
                    <w:szCs w:val="28"/>
                  </w:rPr>
                  <w:t>专业代码</w:t>
                </w:r>
              </w:p>
            </w:tc>
            <w:tc>
              <w:tcPr>
                <w:tcW w:w="55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jc w:val="left"/>
                  <w:textAlignment w:val="auto"/>
                  <w:rPr>
                    <w:rFonts w:hint="eastAsia" w:ascii="Times New Roman" w:hAnsi="Times New Roman" w:eastAsia="宋体" w:cs="Times New Roman"/>
                    <w:kern w:val="0"/>
                    <w:sz w:val="28"/>
                    <w:szCs w:val="28"/>
                    <w:lang w:val="en-US" w:eastAsia="zh-CN" w:bidi="ar-SA"/>
                  </w:rPr>
                </w:pPr>
                <w:r>
                  <w:rPr>
                    <w:rFonts w:hint="eastAsia" w:ascii="宋体" w:hAnsi="宋体" w:eastAsia="宋体" w:cs="宋体"/>
                    <w:color w:val="auto"/>
                    <w:kern w:val="2"/>
                    <w:sz w:val="24"/>
                    <w:szCs w:val="22"/>
                    <w:lang w:val="en-US" w:eastAsia="zh-CN" w:bidi="ar"/>
                  </w:rPr>
                  <w:t>710210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rFonts w:hint="eastAsia"/>
                    <w:sz w:val="28"/>
                    <w:szCs w:val="28"/>
                  </w:rPr>
                  <w:t>适用学生</w:t>
                </w:r>
              </w:p>
            </w:tc>
            <w:tc>
              <w:tcPr>
                <w:tcW w:w="5529" w:type="dxa"/>
                <w:vAlign w:val="center"/>
              </w:tcPr>
              <w:p>
                <w:pPr>
                  <w:pStyle w:val="18"/>
                  <w:spacing w:beforeLines="0" w:afterLines="0" w:line="240" w:lineRule="auto"/>
                  <w:ind w:left="0" w:leftChars="0" w:firstLine="0" w:firstLineChars="0"/>
                  <w:jc w:val="left"/>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计算机平面设计专业学生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4" w:type="dxa"/>
                <w:vMerge w:val="restart"/>
                <w:vAlign w:val="center"/>
              </w:tcPr>
              <w:p>
                <w:pPr>
                  <w:pStyle w:val="18"/>
                  <w:spacing w:beforeLines="0" w:afterLines="0" w:line="240" w:lineRule="auto"/>
                  <w:ind w:left="0" w:leftChars="0" w:firstLine="0" w:firstLineChars="0"/>
                  <w:jc w:val="center"/>
                  <w:rPr>
                    <w:sz w:val="28"/>
                    <w:szCs w:val="28"/>
                  </w:rPr>
                </w:pPr>
                <w:r>
                  <w:rPr>
                    <w:rFonts w:hint="eastAsia"/>
                    <w:sz w:val="28"/>
                    <w:szCs w:val="28"/>
                  </w:rPr>
                  <w:t>主编</w:t>
                </w:r>
              </w:p>
            </w:tc>
            <w:tc>
              <w:tcPr>
                <w:tcW w:w="1701" w:type="dxa"/>
                <w:vAlign w:val="center"/>
              </w:tcPr>
              <w:p>
                <w:pPr>
                  <w:pStyle w:val="18"/>
                  <w:spacing w:beforeLines="0" w:afterLines="0" w:line="240" w:lineRule="auto"/>
                  <w:ind w:left="0" w:leftChars="0" w:firstLine="0" w:firstLineChars="0"/>
                  <w:jc w:val="center"/>
                  <w:rPr>
                    <w:sz w:val="28"/>
                    <w:szCs w:val="28"/>
                  </w:rPr>
                </w:pPr>
                <w:r>
                  <w:rPr>
                    <w:rFonts w:hint="eastAsia"/>
                    <w:sz w:val="28"/>
                    <w:szCs w:val="28"/>
                  </w:rPr>
                  <w:t>学校人员</w:t>
                </w:r>
              </w:p>
            </w:tc>
            <w:tc>
              <w:tcPr>
                <w:tcW w:w="5529" w:type="dxa"/>
                <w:vAlign w:val="center"/>
              </w:tcPr>
              <w:p>
                <w:pPr>
                  <w:pStyle w:val="18"/>
                  <w:spacing w:beforeLines="0" w:afterLines="0" w:line="240" w:lineRule="auto"/>
                  <w:ind w:left="0" w:leftChars="0" w:firstLine="0" w:firstLineChars="0"/>
                  <w:rPr>
                    <w:rFonts w:hint="default" w:eastAsia="宋体"/>
                    <w:sz w:val="28"/>
                    <w:szCs w:val="28"/>
                    <w:lang w:val="en-US" w:eastAsia="zh-CN"/>
                  </w:rPr>
                </w:pPr>
                <w:r>
                  <w:rPr>
                    <w:rFonts w:hint="eastAsia"/>
                    <w:sz w:val="28"/>
                    <w:szCs w:val="28"/>
                    <w:lang w:eastAsia="zh-CN"/>
                  </w:rPr>
                  <w:t>陈文君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34" w:type="dxa"/>
                <w:vMerge w:val="continue"/>
                <w:vAlign w:val="center"/>
              </w:tcPr>
              <w:p>
                <w:pPr>
                  <w:pStyle w:val="18"/>
                  <w:spacing w:beforeLines="0" w:afterLines="0" w:line="240" w:lineRule="auto"/>
                  <w:ind w:left="0" w:leftChars="0" w:firstLine="0" w:firstLineChars="0"/>
                  <w:jc w:val="center"/>
                  <w:rPr>
                    <w:sz w:val="28"/>
                    <w:szCs w:val="28"/>
                  </w:rPr>
                </w:pPr>
              </w:p>
            </w:tc>
            <w:tc>
              <w:tcPr>
                <w:tcW w:w="1701" w:type="dxa"/>
                <w:vAlign w:val="center"/>
              </w:tcPr>
              <w:p>
                <w:pPr>
                  <w:pStyle w:val="18"/>
                  <w:spacing w:beforeLines="0" w:afterLines="0" w:line="240" w:lineRule="auto"/>
                  <w:ind w:left="0" w:leftChars="0" w:firstLine="0" w:firstLineChars="0"/>
                  <w:jc w:val="center"/>
                  <w:rPr>
                    <w:sz w:val="28"/>
                    <w:szCs w:val="28"/>
                  </w:rPr>
                </w:pPr>
                <w:r>
                  <w:rPr>
                    <w:rFonts w:hint="eastAsia"/>
                    <w:sz w:val="28"/>
                    <w:szCs w:val="28"/>
                  </w:rPr>
                  <w:t>企业人员</w:t>
                </w:r>
              </w:p>
            </w:tc>
            <w:tc>
              <w:tcPr>
                <w:tcW w:w="5529" w:type="dxa"/>
                <w:vAlign w:val="center"/>
              </w:tcPr>
              <w:p>
                <w:pPr>
                  <w:pStyle w:val="18"/>
                  <w:spacing w:beforeLines="0" w:afterLines="0" w:line="240" w:lineRule="auto"/>
                  <w:ind w:left="0" w:leftChars="0" w:firstLine="0" w:firstLineChars="0"/>
                  <w:rPr>
                    <w:rFonts w:hint="eastAsia" w:eastAsia="宋体"/>
                    <w:sz w:val="28"/>
                    <w:szCs w:val="28"/>
                    <w:lang w:eastAsia="zh-CN"/>
                  </w:rPr>
                </w:pPr>
                <w:r>
                  <w:rPr>
                    <w:rFonts w:hint="eastAsia" w:eastAsia="宋体"/>
                    <w:sz w:val="28"/>
                    <w:szCs w:val="28"/>
                    <w:lang w:eastAsia="zh-CN"/>
                  </w:rPr>
                  <w:t>广东职教桥数据科技有限公司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Merge w:val="restart"/>
                <w:vAlign w:val="center"/>
              </w:tcPr>
              <w:p>
                <w:pPr>
                  <w:pStyle w:val="18"/>
                  <w:spacing w:beforeLines="0" w:afterLines="0" w:line="240" w:lineRule="auto"/>
                  <w:ind w:left="0" w:leftChars="0" w:firstLine="0" w:firstLineChars="0"/>
                  <w:jc w:val="center"/>
                  <w:rPr>
                    <w:sz w:val="28"/>
                    <w:szCs w:val="28"/>
                  </w:rPr>
                </w:pPr>
                <w:r>
                  <w:rPr>
                    <w:rFonts w:hint="eastAsia"/>
                    <w:sz w:val="28"/>
                    <w:szCs w:val="28"/>
                  </w:rPr>
                  <w:t>参编</w:t>
                </w:r>
              </w:p>
            </w:tc>
            <w:tc>
              <w:tcPr>
                <w:tcW w:w="1701" w:type="dxa"/>
                <w:vAlign w:val="center"/>
              </w:tcPr>
              <w:p>
                <w:pPr>
                  <w:pStyle w:val="18"/>
                  <w:spacing w:beforeLines="0" w:afterLines="0" w:line="240" w:lineRule="auto"/>
                  <w:ind w:left="0" w:leftChars="0" w:firstLine="0" w:firstLineChars="0"/>
                  <w:jc w:val="center"/>
                  <w:rPr>
                    <w:sz w:val="28"/>
                    <w:szCs w:val="28"/>
                  </w:rPr>
                </w:pPr>
                <w:r>
                  <w:rPr>
                    <w:rFonts w:hint="eastAsia"/>
                    <w:sz w:val="28"/>
                    <w:szCs w:val="28"/>
                  </w:rPr>
                  <w:t>学校人员</w:t>
                </w:r>
              </w:p>
            </w:tc>
            <w:tc>
              <w:tcPr>
                <w:tcW w:w="5529" w:type="dxa"/>
                <w:vAlign w:val="center"/>
              </w:tcPr>
              <w:p>
                <w:pPr>
                  <w:pStyle w:val="18"/>
                  <w:spacing w:beforeLines="0" w:afterLines="0" w:line="240" w:lineRule="auto"/>
                  <w:ind w:left="0" w:leftChars="0" w:firstLine="0" w:firstLineChars="0"/>
                  <w:rPr>
                    <w:sz w:val="28"/>
                    <w:szCs w:val="28"/>
                  </w:rPr>
                </w:pPr>
                <w:r>
                  <w:rPr>
                    <w:rFonts w:hint="eastAsia"/>
                    <w:sz w:val="28"/>
                    <w:szCs w:val="28"/>
                    <w:lang w:eastAsia="zh-CN"/>
                  </w:rPr>
                  <w:t>胡晓胜、贾一竹、姚帅、</w:t>
                </w:r>
                <w:bookmarkStart w:id="102" w:name="_GoBack"/>
                <w:bookmarkEnd w:id="102"/>
                <w:r>
                  <w:rPr>
                    <w:rFonts w:hint="eastAsia"/>
                    <w:sz w:val="28"/>
                    <w:szCs w:val="28"/>
                    <w:lang w:eastAsia="zh-CN"/>
                  </w:rPr>
                  <w:t>刘沁铭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34" w:type="dxa"/>
                <w:vMerge w:val="continue"/>
                <w:vAlign w:val="center"/>
              </w:tcPr>
              <w:p>
                <w:pPr>
                  <w:pStyle w:val="18"/>
                  <w:spacing w:beforeLines="0" w:afterLines="0" w:line="240" w:lineRule="auto"/>
                  <w:ind w:left="0" w:leftChars="0" w:firstLine="0" w:firstLineChars="0"/>
                  <w:jc w:val="center"/>
                  <w:rPr>
                    <w:sz w:val="28"/>
                    <w:szCs w:val="28"/>
                  </w:rPr>
                </w:pPr>
              </w:p>
            </w:tc>
            <w:tc>
              <w:tcPr>
                <w:tcW w:w="1701" w:type="dxa"/>
                <w:vAlign w:val="center"/>
              </w:tcPr>
              <w:p>
                <w:pPr>
                  <w:pStyle w:val="18"/>
                  <w:spacing w:beforeLines="0" w:afterLines="0" w:line="240" w:lineRule="auto"/>
                  <w:ind w:left="0" w:leftChars="0" w:firstLine="0" w:firstLineChars="0"/>
                  <w:jc w:val="center"/>
                  <w:rPr>
                    <w:sz w:val="28"/>
                    <w:szCs w:val="28"/>
                  </w:rPr>
                </w:pPr>
                <w:r>
                  <w:rPr>
                    <w:rFonts w:hint="eastAsia"/>
                    <w:sz w:val="28"/>
                    <w:szCs w:val="28"/>
                  </w:rPr>
                  <w:t>企业人员</w:t>
                </w:r>
              </w:p>
            </w:tc>
            <w:tc>
              <w:tcPr>
                <w:tcW w:w="5529" w:type="dxa"/>
                <w:vAlign w:val="center"/>
              </w:tcPr>
              <w:p>
                <w:pPr>
                  <w:pStyle w:val="18"/>
                  <w:spacing w:beforeLines="0" w:afterLines="0" w:line="240" w:lineRule="auto"/>
                  <w:ind w:left="0" w:leftChars="0" w:firstLine="0" w:firstLineChars="0"/>
                  <w:rPr>
                    <w:rFonts w:hint="eastAsia" w:eastAsia="宋体"/>
                    <w:sz w:val="28"/>
                    <w:szCs w:val="28"/>
                    <w:lang w:eastAsia="zh-CN"/>
                  </w:rPr>
                </w:pPr>
                <w:r>
                  <w:rPr>
                    <w:rFonts w:hint="eastAsia" w:eastAsia="宋体"/>
                    <w:sz w:val="28"/>
                    <w:szCs w:val="28"/>
                    <w:lang w:eastAsia="zh-CN"/>
                  </w:rPr>
                  <w:t>广东职教桥数据科技有限公司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835" w:type="dxa"/>
                <w:gridSpan w:val="2"/>
                <w:vMerge w:val="restart"/>
                <w:vAlign w:val="center"/>
              </w:tcPr>
              <w:p>
                <w:pPr>
                  <w:pStyle w:val="18"/>
                  <w:spacing w:beforeLines="0" w:afterLines="0" w:line="240" w:lineRule="auto"/>
                  <w:ind w:left="0" w:leftChars="0" w:firstLine="0" w:firstLineChars="0"/>
                  <w:jc w:val="center"/>
                  <w:rPr>
                    <w:sz w:val="28"/>
                    <w:szCs w:val="28"/>
                  </w:rPr>
                </w:pPr>
                <w:r>
                  <w:rPr>
                    <w:rFonts w:hint="eastAsia"/>
                    <w:sz w:val="28"/>
                    <w:szCs w:val="28"/>
                  </w:rPr>
                  <w:t>参编单位</w:t>
                </w:r>
              </w:p>
            </w:tc>
            <w:tc>
              <w:tcPr>
                <w:tcW w:w="5529" w:type="dxa"/>
                <w:vAlign w:val="center"/>
              </w:tcPr>
              <w:p>
                <w:pPr>
                  <w:pStyle w:val="18"/>
                  <w:spacing w:beforeLines="0" w:afterLines="0" w:line="240" w:lineRule="auto"/>
                  <w:ind w:left="0" w:leftChars="0" w:firstLine="0" w:firstLineChars="0"/>
                  <w:rPr>
                    <w:rFonts w:hint="eastAsia" w:eastAsia="宋体"/>
                    <w:sz w:val="28"/>
                    <w:szCs w:val="28"/>
                    <w:lang w:eastAsia="zh-CN"/>
                  </w:rPr>
                </w:pPr>
                <w:r>
                  <w:rPr>
                    <w:rFonts w:hint="eastAsia" w:eastAsia="宋体"/>
                    <w:sz w:val="28"/>
                    <w:szCs w:val="28"/>
                    <w:lang w:eastAsia="zh-CN"/>
                  </w:rPr>
                  <w:t>广东职教桥数据科技有限公司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835" w:type="dxa"/>
                <w:gridSpan w:val="2"/>
                <w:vMerge w:val="continue"/>
                <w:vAlign w:val="center"/>
              </w:tcPr>
              <w:p>
                <w:pPr>
                  <w:pStyle w:val="18"/>
                  <w:spacing w:beforeLines="0" w:afterLines="0" w:line="240" w:lineRule="auto"/>
                  <w:ind w:left="0" w:leftChars="0" w:firstLine="0" w:firstLineChars="0"/>
                  <w:jc w:val="center"/>
                  <w:rPr>
                    <w:sz w:val="28"/>
                    <w:szCs w:val="28"/>
                  </w:rPr>
                </w:pPr>
              </w:p>
            </w:tc>
            <w:tc>
              <w:tcPr>
                <w:tcW w:w="5529" w:type="dxa"/>
                <w:vAlign w:val="center"/>
              </w:tcPr>
              <w:p>
                <w:pPr>
                  <w:pStyle w:val="18"/>
                  <w:spacing w:beforeLines="0" w:afterLines="0" w:line="240" w:lineRule="auto"/>
                  <w:ind w:left="0" w:leftChars="0"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35" w:type="dxa"/>
                <w:gridSpan w:val="2"/>
                <w:vMerge w:val="continue"/>
                <w:vAlign w:val="center"/>
              </w:tcPr>
              <w:p>
                <w:pPr>
                  <w:pStyle w:val="18"/>
                  <w:spacing w:beforeLines="0" w:afterLines="0" w:line="240" w:lineRule="auto"/>
                  <w:ind w:left="0" w:leftChars="0" w:firstLine="0" w:firstLineChars="0"/>
                  <w:jc w:val="center"/>
                  <w:rPr>
                    <w:sz w:val="28"/>
                    <w:szCs w:val="28"/>
                  </w:rPr>
                </w:pPr>
              </w:p>
            </w:tc>
            <w:tc>
              <w:tcPr>
                <w:tcW w:w="5529" w:type="dxa"/>
                <w:vAlign w:val="center"/>
              </w:tcPr>
              <w:p>
                <w:pPr>
                  <w:pStyle w:val="18"/>
                  <w:spacing w:beforeLines="0" w:afterLines="0" w:line="240" w:lineRule="auto"/>
                  <w:ind w:left="0" w:leftChars="0"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rFonts w:hint="eastAsia"/>
                    <w:sz w:val="28"/>
                    <w:szCs w:val="28"/>
                  </w:rPr>
                  <w:t>教学主任审核</w:t>
                </w:r>
              </w:p>
            </w:tc>
            <w:tc>
              <w:tcPr>
                <w:tcW w:w="5529" w:type="dxa"/>
                <w:vAlign w:val="center"/>
              </w:tcPr>
              <w:p>
                <w:pPr>
                  <w:pStyle w:val="13"/>
                </w:pPr>
              </w:p>
              <w:p>
                <w:pPr>
                  <w:pStyle w:val="18"/>
                  <w:spacing w:beforeLines="0" w:afterLines="0" w:line="360" w:lineRule="auto"/>
                  <w:ind w:left="0" w:leftChars="0" w:firstLine="0" w:firstLineChars="0"/>
                  <w:jc w:val="left"/>
                  <w:rPr>
                    <w:sz w:val="28"/>
                    <w:szCs w:val="28"/>
                  </w:rPr>
                </w:pPr>
                <w:r>
                  <w:rPr>
                    <w:rFonts w:hint="eastAsia"/>
                    <w:sz w:val="28"/>
                    <w:szCs w:val="28"/>
                  </w:rPr>
                  <w:t>签名（盖章）：</w:t>
                </w:r>
              </w:p>
              <w:p>
                <w:pPr>
                  <w:pStyle w:val="13"/>
                  <w:spacing w:line="360" w:lineRule="auto"/>
                  <w:jc w:val="left"/>
                  <w:rPr>
                    <w:rFonts w:ascii="宋体"/>
                    <w:spacing w:val="-4"/>
                    <w:kern w:val="0"/>
                    <w:sz w:val="28"/>
                    <w:szCs w:val="28"/>
                  </w:rPr>
                </w:pPr>
                <w:r>
                  <w:rPr>
                    <w:rFonts w:hint="eastAsia" w:ascii="宋体"/>
                    <w:spacing w:val="-4"/>
                    <w:kern w:val="0"/>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rFonts w:hint="eastAsia"/>
                    <w:sz w:val="28"/>
                    <w:szCs w:val="28"/>
                  </w:rPr>
                  <w:t>教务科审核</w:t>
                </w:r>
              </w:p>
            </w:tc>
            <w:tc>
              <w:tcPr>
                <w:tcW w:w="5529" w:type="dxa"/>
                <w:vAlign w:val="center"/>
              </w:tcPr>
              <w:p>
                <w:pPr>
                  <w:pStyle w:val="18"/>
                  <w:spacing w:beforeLines="0" w:afterLines="0" w:line="240" w:lineRule="auto"/>
                  <w:ind w:left="0" w:leftChars="0" w:firstLine="0" w:firstLineChars="0"/>
                  <w:jc w:val="left"/>
                  <w:rPr>
                    <w:rFonts w:hint="eastAsia"/>
                    <w:sz w:val="28"/>
                    <w:szCs w:val="28"/>
                  </w:rPr>
                </w:pPr>
              </w:p>
              <w:p>
                <w:pPr>
                  <w:pStyle w:val="18"/>
                  <w:spacing w:beforeLines="0" w:afterLines="0" w:line="240" w:lineRule="auto"/>
                  <w:ind w:left="0" w:leftChars="0" w:firstLine="0" w:firstLineChars="0"/>
                  <w:jc w:val="left"/>
                  <w:rPr>
                    <w:sz w:val="28"/>
                    <w:szCs w:val="28"/>
                  </w:rPr>
                </w:pPr>
                <w:r>
                  <w:rPr>
                    <w:rFonts w:hint="eastAsia"/>
                    <w:sz w:val="28"/>
                    <w:szCs w:val="28"/>
                  </w:rPr>
                  <w:t>签名（盖章）：</w:t>
                </w:r>
              </w:p>
              <w:p>
                <w:pPr>
                  <w:pStyle w:val="18"/>
                  <w:spacing w:beforeLines="0" w:afterLines="0" w:line="240" w:lineRule="auto"/>
                  <w:ind w:left="0" w:leftChars="0" w:firstLine="0" w:firstLineChars="0"/>
                  <w:jc w:val="left"/>
                  <w:rPr>
                    <w:sz w:val="28"/>
                    <w:szCs w:val="28"/>
                  </w:rPr>
                </w:pPr>
                <w:r>
                  <w:rPr>
                    <w:rFonts w:hint="eastAsia"/>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rFonts w:hint="eastAsia"/>
                    <w:sz w:val="28"/>
                    <w:szCs w:val="28"/>
                  </w:rPr>
                  <w:t>教学工作指导委员会审核</w:t>
                </w:r>
              </w:p>
            </w:tc>
            <w:tc>
              <w:tcPr>
                <w:tcW w:w="5529" w:type="dxa"/>
                <w:vAlign w:val="center"/>
              </w:tcPr>
              <w:p>
                <w:pPr>
                  <w:pStyle w:val="18"/>
                  <w:spacing w:beforeLines="0" w:afterLines="0" w:line="240" w:lineRule="auto"/>
                  <w:ind w:left="0" w:leftChars="0" w:firstLine="0" w:firstLineChars="0"/>
                  <w:jc w:val="left"/>
                  <w:rPr>
                    <w:sz w:val="28"/>
                    <w:szCs w:val="28"/>
                  </w:rPr>
                </w:pPr>
                <w:r>
                  <w:rPr>
                    <w:rFonts w:hint="eastAsia"/>
                    <w:sz w:val="28"/>
                    <w:szCs w:val="28"/>
                  </w:rPr>
                  <w:t>签名（盖章）：</w:t>
                </w:r>
              </w:p>
              <w:p>
                <w:pPr>
                  <w:pStyle w:val="18"/>
                  <w:spacing w:beforeLines="0" w:afterLines="0" w:line="240" w:lineRule="auto"/>
                  <w:ind w:left="0" w:leftChars="0" w:firstLine="0" w:firstLineChars="0"/>
                  <w:jc w:val="left"/>
                  <w:rPr>
                    <w:sz w:val="28"/>
                    <w:szCs w:val="28"/>
                  </w:rPr>
                </w:pPr>
                <w:r>
                  <w:rPr>
                    <w:rFonts w:hint="eastAsia"/>
                    <w:sz w:val="28"/>
                    <w:szCs w:val="28"/>
                  </w:rPr>
                  <w:t>日期：</w:t>
                </w:r>
              </w:p>
            </w:tc>
          </w:tr>
        </w:tbl>
        <w:p>
          <w:pP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b/>
              <w:bCs/>
              <w:sz w:val="32"/>
              <w:szCs w:val="40"/>
            </w:rPr>
          </w:pPr>
          <w:r>
            <w:rPr>
              <w:rFonts w:ascii="宋体" w:hAnsi="宋体" w:eastAsia="宋体"/>
              <w:b/>
              <w:bCs/>
              <w:sz w:val="32"/>
              <w:szCs w:val="40"/>
            </w:rPr>
            <w:t>目录</w:t>
          </w:r>
        </w:p>
        <w:p>
          <w:pPr>
            <w:pStyle w:val="27"/>
            <w:tabs>
              <w:tab w:val="right" w:leader="dot" w:pos="8306"/>
            </w:tabs>
            <w:rPr>
              <w:b/>
            </w:rPr>
          </w:pPr>
          <w:r>
            <w:rPr>
              <w:rFonts w:hint="eastAsia"/>
              <w:b/>
              <w:bCs/>
              <w:color w:val="auto"/>
              <w:sz w:val="40"/>
              <w:szCs w:val="40"/>
              <w:lang w:val="en-US" w:eastAsia="zh-CN"/>
            </w:rPr>
            <w:fldChar w:fldCharType="begin"/>
          </w:r>
          <w:r>
            <w:rPr>
              <w:rFonts w:hint="eastAsia"/>
              <w:b/>
              <w:bCs/>
              <w:color w:val="auto"/>
              <w:sz w:val="40"/>
              <w:szCs w:val="40"/>
              <w:lang w:val="en-US" w:eastAsia="zh-CN"/>
            </w:rPr>
            <w:instrText xml:space="preserve">TOC \o "1-2" \h \u </w:instrText>
          </w:r>
          <w:r>
            <w:rPr>
              <w:rFonts w:hint="eastAsia"/>
              <w:b/>
              <w:bCs/>
              <w:color w:val="auto"/>
              <w:sz w:val="40"/>
              <w:szCs w:val="40"/>
              <w:lang w:val="en-US" w:eastAsia="zh-CN"/>
            </w:rPr>
            <w:fldChar w:fldCharType="separate"/>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_Toc30655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一、专业名称及代码</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_Toc30655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_Toc6033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二、入学要求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_Toc6033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_Toc19890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三、修业年限</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_Toc19890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_Toc32037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四、组群逻辑</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_Toc32037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_Toc23703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五、职业面向</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_Toc23703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_Toc77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六、培养目标与规格</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_Toc77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_Toc27832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（一）培养目标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_Toc27832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_Toc1985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（二）培养规格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_Toc8442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七、升学继续专业</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_Toc8442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_Toc13506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八、课程设置及要求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_Toc13506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4</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_Toc16325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（一）公共基础课程教学内容及要求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_Toc16325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_Toc23959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（二）专业课程教学内容及要求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_Toc23959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_Toc20923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九、教学进程总体安排</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_Toc20923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8</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_Toc11763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（一）基本要求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_Toc11763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_Toc19217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（二）教学进度安排表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_Toc19217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_Toc2901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十、</w:t>
          </w:r>
          <w:r>
            <w:rPr>
              <w:rFonts w:hint="eastAsia" w:ascii="宋体" w:hAnsi="宋体" w:eastAsia="宋体" w:cs="宋体"/>
              <w:b/>
              <w:kern w:val="44"/>
              <w:sz w:val="24"/>
              <w:szCs w:val="24"/>
              <w:highlight w:val="none"/>
              <w:lang w:val="en-US" w:eastAsia="zh-CN" w:bidi="ar-SA"/>
            </w:rPr>
            <w:t>实施保障</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_Toc2901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10</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_Toc15586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（一）师资队伍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_Toc15586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_Toc26014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（二）教学设施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_Toc26014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_Toc13814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（三）教学资源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_Toc13814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_Toc7478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（四）教学实施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_Toc7478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_Toc30412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（五）学习评价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_Toc30412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_Toc13173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（六）质量管理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_Toc13173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_Toc31468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十一、毕业要求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_Toc31468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17</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b/>
              <w:bCs/>
              <w:color w:val="auto"/>
              <w:sz w:val="40"/>
              <w:szCs w:val="40"/>
              <w:lang w:val="en-US" w:eastAsia="zh-CN"/>
            </w:rPr>
            <w:sectPr>
              <w:pgSz w:w="11906" w:h="16838"/>
              <w:pgMar w:top="1440" w:right="1800" w:bottom="1440" w:left="1800" w:header="851" w:footer="992" w:gutter="0"/>
              <w:cols w:space="425" w:num="1"/>
              <w:docGrid w:type="lines" w:linePitch="312" w:charSpace="0"/>
            </w:sectPr>
          </w:pPr>
          <w:r>
            <w:rPr>
              <w:rFonts w:hint="eastAsia"/>
              <w:b/>
              <w:bCs/>
              <w:color w:val="auto"/>
              <w:szCs w:val="40"/>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default"/>
          <w:color w:val="auto"/>
          <w:lang w:val="en-US" w:eastAsia="zh-CN"/>
        </w:rPr>
      </w:pPr>
      <w:bookmarkStart w:id="10" w:name="_Toc31216"/>
      <w:r>
        <w:rPr>
          <w:rFonts w:hint="eastAsia"/>
          <w:b/>
          <w:bCs/>
          <w:color w:val="auto"/>
          <w:sz w:val="40"/>
          <w:szCs w:val="40"/>
          <w:lang w:val="en-US" w:eastAsia="zh-CN"/>
        </w:rPr>
        <w:t>计算机平面设计</w:t>
      </w:r>
      <w:r>
        <w:rPr>
          <w:rFonts w:hint="eastAsia" w:asciiTheme="minorHAnsi" w:eastAsiaTheme="minorEastAsia"/>
          <w:b/>
          <w:bCs/>
          <w:color w:val="auto"/>
          <w:sz w:val="40"/>
          <w:szCs w:val="40"/>
          <w:lang w:val="en-US" w:eastAsia="zh-CN"/>
        </w:rPr>
        <w:t>专业人才培养方案</w:t>
      </w:r>
      <w:bookmarkEnd w:id="1"/>
      <w:bookmarkEnd w:id="10"/>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11" w:name="_Toc29014"/>
      <w:bookmarkStart w:id="12" w:name="_Toc30655"/>
      <w:bookmarkStart w:id="13" w:name="_Toc24625"/>
      <w:r>
        <w:rPr>
          <w:rFonts w:hint="eastAsia" w:eastAsia="黑体" w:asciiTheme="minorAscii" w:hAnsiTheme="minorAscii" w:cstheme="minorBidi"/>
          <w:b/>
          <w:color w:val="auto"/>
          <w:kern w:val="44"/>
          <w:sz w:val="30"/>
          <w:szCs w:val="24"/>
          <w:lang w:val="en-US" w:eastAsia="zh-CN" w:bidi="ar-SA"/>
        </w:rPr>
        <w:t>专业名称及代码</w:t>
      </w:r>
      <w:bookmarkEnd w:id="11"/>
      <w:bookmarkEnd w:id="12"/>
      <w:bookmarkEnd w:id="13"/>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计算机平面设计（710210）</w:t>
      </w:r>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14" w:name="_Toc21556"/>
      <w:bookmarkStart w:id="15" w:name="_Toc6033"/>
      <w:bookmarkStart w:id="16" w:name="_Toc4585"/>
      <w:r>
        <w:rPr>
          <w:rFonts w:hint="eastAsia" w:eastAsia="黑体" w:asciiTheme="minorAscii" w:hAnsiTheme="minorAscii" w:cstheme="minorBidi"/>
          <w:b/>
          <w:color w:val="auto"/>
          <w:kern w:val="44"/>
          <w:sz w:val="30"/>
          <w:szCs w:val="24"/>
          <w:lang w:val="en-US" w:eastAsia="zh-CN" w:bidi="ar-SA"/>
        </w:rPr>
        <w:t>入学要求</w:t>
      </w:r>
      <w:bookmarkEnd w:id="14"/>
      <w:bookmarkEnd w:id="15"/>
      <w:bookmarkEnd w:id="16"/>
    </w:p>
    <w:p>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500" w:lineRule="exact"/>
        <w:ind w:left="0" w:right="0" w:firstLine="480" w:firstLineChars="200"/>
        <w:jc w:val="both"/>
        <w:textAlignment w:val="auto"/>
        <w:outlineLvl w:val="1"/>
        <w:rPr>
          <w:rFonts w:hint="eastAsia" w:ascii="宋体" w:hAnsi="宋体" w:eastAsia="宋体" w:cs="宋体"/>
          <w:color w:val="auto"/>
          <w:kern w:val="2"/>
          <w:sz w:val="24"/>
          <w:szCs w:val="22"/>
          <w:lang w:val="en-US" w:eastAsia="zh-CN" w:bidi="ar"/>
        </w:rPr>
      </w:pPr>
      <w:bookmarkStart w:id="17" w:name="_Toc9182"/>
      <w:bookmarkStart w:id="18" w:name="_Toc21709"/>
      <w:r>
        <w:rPr>
          <w:rFonts w:hint="eastAsia" w:ascii="宋体" w:hAnsi="宋体" w:eastAsia="宋体" w:cs="宋体"/>
          <w:color w:val="auto"/>
          <w:kern w:val="2"/>
          <w:sz w:val="24"/>
          <w:szCs w:val="22"/>
          <w:lang w:val="en-US" w:eastAsia="zh-CN" w:bidi="ar"/>
        </w:rPr>
        <w:t>初级中等学校毕业或具备同等学力</w:t>
      </w:r>
      <w:bookmarkEnd w:id="17"/>
      <w:bookmarkEnd w:id="18"/>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19" w:name="_Toc6344"/>
      <w:bookmarkStart w:id="20" w:name="_Toc19890"/>
      <w:bookmarkStart w:id="21" w:name="_Toc22528"/>
      <w:bookmarkStart w:id="22" w:name="_Toc7205"/>
      <w:r>
        <w:rPr>
          <w:rFonts w:hint="eastAsia" w:eastAsia="黑体" w:asciiTheme="minorAscii" w:hAnsiTheme="minorAscii" w:cstheme="minorBidi"/>
          <w:b/>
          <w:color w:val="auto"/>
          <w:kern w:val="44"/>
          <w:sz w:val="30"/>
          <w:szCs w:val="24"/>
          <w:lang w:val="en-US" w:eastAsia="zh-CN" w:bidi="ar-SA"/>
        </w:rPr>
        <w:t>修业年限</w:t>
      </w:r>
      <w:bookmarkEnd w:id="19"/>
      <w:bookmarkEnd w:id="2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default"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三年</w:t>
      </w:r>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23" w:name="_Toc32037"/>
      <w:r>
        <w:rPr>
          <w:rFonts w:hint="eastAsia" w:eastAsia="黑体" w:asciiTheme="minorAscii" w:hAnsiTheme="minorAscii" w:cstheme="minorBidi"/>
          <w:b/>
          <w:color w:val="auto"/>
          <w:kern w:val="44"/>
          <w:sz w:val="30"/>
          <w:szCs w:val="24"/>
          <w:lang w:val="en-US" w:eastAsia="zh-CN" w:bidi="ar-SA"/>
        </w:rPr>
        <w:t>组群逻辑</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color w:val="auto"/>
          <w:highlight w:val="yellow"/>
          <w:lang w:val="en-US" w:eastAsia="zh-CN"/>
        </w:rPr>
      </w:pPr>
      <w:r>
        <w:drawing>
          <wp:inline distT="0" distB="0" distL="114300" distR="114300">
            <wp:extent cx="5039995" cy="2921000"/>
            <wp:effectExtent l="9525" t="9525" r="177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039995" cy="2921000"/>
                    </a:xfrm>
                    <a:prstGeom prst="rect">
                      <a:avLst/>
                    </a:prstGeom>
                    <a:ln>
                      <a:solidFill>
                        <a:schemeClr val="tx1">
                          <a:lumMod val="95000"/>
                          <a:lumOff val="5000"/>
                        </a:schemeClr>
                      </a:solidFill>
                    </a:ln>
                  </pic:spPr>
                </pic:pic>
              </a:graphicData>
            </a:graphic>
          </wp:inline>
        </w:drawing>
      </w:r>
    </w:p>
    <w:p>
      <w:pPr>
        <w:pStyle w:val="12"/>
        <w:ind w:left="0" w:leftChars="0" w:firstLine="0" w:firstLineChars="0"/>
        <w:rPr>
          <w:rFonts w:hint="default" w:eastAsia="黑体"/>
          <w:color w:val="auto"/>
          <w:lang w:val="en-US" w:eastAsia="zh-CN"/>
        </w:rPr>
      </w:pPr>
      <w:r>
        <w:rPr>
          <w:color w:val="auto"/>
        </w:rPr>
        <w:t xml:space="preserve">图 </w:t>
      </w:r>
      <w:r>
        <w:rPr>
          <w:color w:val="auto"/>
        </w:rPr>
        <w:fldChar w:fldCharType="begin"/>
      </w:r>
      <w:r>
        <w:rPr>
          <w:color w:val="auto"/>
        </w:rPr>
        <w:instrText xml:space="preserve"> SEQ 图 \* ARABIC </w:instrText>
      </w:r>
      <w:r>
        <w:rPr>
          <w:color w:val="auto"/>
        </w:rPr>
        <w:fldChar w:fldCharType="separate"/>
      </w:r>
      <w:r>
        <w:rPr>
          <w:color w:val="auto"/>
        </w:rPr>
        <w:t>1</w:t>
      </w:r>
      <w:r>
        <w:rPr>
          <w:color w:val="auto"/>
        </w:rPr>
        <w:fldChar w:fldCharType="end"/>
      </w:r>
      <w:r>
        <w:rPr>
          <w:rFonts w:hint="eastAsia"/>
          <w:color w:val="auto"/>
          <w:lang w:val="en-US" w:eastAsia="zh-CN"/>
        </w:rPr>
        <w:t>计算机平面设计专业群组群逻辑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bookmarkStart w:id="24" w:name="_Toc7952"/>
      <w:r>
        <w:rPr>
          <w:rFonts w:hint="eastAsia" w:ascii="宋体" w:hAnsi="宋体" w:eastAsia="宋体" w:cs="宋体"/>
          <w:color w:val="auto"/>
          <w:kern w:val="2"/>
          <w:sz w:val="24"/>
          <w:szCs w:val="22"/>
          <w:lang w:val="en-US" w:eastAsia="zh-CN" w:bidi="ar"/>
        </w:rPr>
        <w:t>计算机平面设计专业群以“艺术设计+文化创意”为组群思路，以商业、文化、生活对于艺术设计、文化教育的需求等为依据，对接粤港澳大湾区文化创意和设计服务产业。文化创意和设计服务产业，包括文化创意设计产业链、创意产品生产产业链、创意产品营销产业链和创意教育产业链，其中，文化创意设计产业链涵盖产品策划与制作、服装设计、平面设计、室内设计、工艺设计等环节，创意产品生产产业链涵盖服装生产、工艺品生产等环节；创意产品营销产业链涵盖市场调研、网络营销、产品推广、运营管理等环节，创意教育产业链涵盖托育教育、早教教育、幼儿保育、少儿教育等环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default"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计算机平面设计专业对接文化创意和设计服务产业的文化创意设计领域和创意产品营销领域，主要培养能够从事视觉传播设计、策划与制作等工作的复合型技术技能人才。</w:t>
      </w:r>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25" w:name="_Toc23703"/>
      <w:r>
        <w:rPr>
          <w:rFonts w:hint="eastAsia" w:eastAsia="黑体" w:asciiTheme="minorAscii" w:hAnsiTheme="minorAscii" w:cstheme="minorBidi"/>
          <w:b/>
          <w:color w:val="auto"/>
          <w:kern w:val="44"/>
          <w:sz w:val="30"/>
          <w:szCs w:val="24"/>
          <w:lang w:val="en-US" w:eastAsia="zh-CN" w:bidi="ar-SA"/>
        </w:rPr>
        <w:t>职业面向</w:t>
      </w:r>
      <w:bookmarkEnd w:id="24"/>
      <w:bookmarkEnd w:id="25"/>
    </w:p>
    <w:tbl>
      <w:tblPr>
        <w:tblStyle w:val="19"/>
        <w:tblW w:w="86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33"/>
        <w:gridCol w:w="5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专业</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计算机平面设计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所属专业大类（代码）</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电子信息大类（71）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所属专业类（代码）</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计算机类（7102）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对应行业（代码）</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0"/>
                <w:szCs w:val="20"/>
                <w:highlight w:val="none"/>
                <w:lang w:val="en-US" w:eastAsia="zh-CN"/>
              </w:rPr>
            </w:pPr>
            <w:r>
              <w:rPr>
                <w:rFonts w:hint="eastAsia" w:ascii="宋体" w:hAnsi="宋体" w:eastAsia="宋体" w:cs="宋体"/>
                <w:bCs/>
                <w:color w:val="auto"/>
                <w:sz w:val="20"/>
                <w:szCs w:val="20"/>
                <w:highlight w:val="none"/>
                <w:lang w:val="en-US" w:eastAsia="zh-CN"/>
              </w:rPr>
              <w:t>软件和信息技术服务业（65）；广告业（725）；</w:t>
            </w:r>
          </w:p>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highlight w:val="none"/>
                <w:lang w:val="en-US" w:eastAsia="zh-CN"/>
              </w:rPr>
              <w:t>包装装潢及其他印刷（2319）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主要职业类别（代码）</w:t>
            </w:r>
          </w:p>
        </w:tc>
        <w:tc>
          <w:tcPr>
            <w:tcW w:w="5329"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Cs/>
                <w:color w:val="auto"/>
                <w:sz w:val="20"/>
                <w:szCs w:val="20"/>
              </w:rPr>
            </w:pPr>
            <w:r>
              <w:rPr>
                <w:rFonts w:hint="eastAsia" w:ascii="宋体" w:hAnsi="宋体" w:eastAsia="宋体" w:cs="宋体"/>
                <w:bCs/>
                <w:color w:val="auto"/>
                <w:sz w:val="20"/>
                <w:szCs w:val="20"/>
                <w:highlight w:val="none"/>
              </w:rPr>
              <w:t>计算机软件工程技术人员（</w:t>
            </w:r>
            <w:r>
              <w:rPr>
                <w:rFonts w:hint="eastAsia" w:ascii="宋体" w:hAnsi="宋体" w:eastAsia="宋体" w:cs="宋体"/>
                <w:bCs/>
                <w:color w:val="auto"/>
                <w:sz w:val="20"/>
                <w:szCs w:val="20"/>
                <w:highlight w:val="none"/>
                <w:lang w:val="en-US" w:eastAsia="zh-CN"/>
              </w:rPr>
              <w:t>2</w:t>
            </w:r>
            <w:r>
              <w:rPr>
                <w:rFonts w:hint="eastAsia" w:ascii="宋体" w:hAnsi="宋体" w:eastAsia="宋体" w:cs="宋体"/>
                <w:bCs/>
                <w:color w:val="auto"/>
                <w:sz w:val="20"/>
                <w:szCs w:val="20"/>
                <w:highlight w:val="none"/>
              </w:rPr>
              <w:t>-02-10-03</w:t>
            </w:r>
            <w:r>
              <w:rPr>
                <w:rFonts w:hint="eastAsia" w:ascii="宋体" w:hAnsi="宋体" w:eastAsia="宋体" w:cs="宋体"/>
                <w:bCs/>
                <w:color w:val="auto"/>
                <w:sz w:val="20"/>
                <w:szCs w:val="20"/>
                <w:highlight w:val="none"/>
                <w:lang w:val="en-US" w:eastAsia="zh-CN"/>
              </w:rPr>
              <w:t xml:space="preserve"> S</w:t>
            </w: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lang w:eastAsia="zh-CN"/>
              </w:rPr>
              <w:br w:type="textWrapping"/>
            </w:r>
            <w:r>
              <w:rPr>
                <w:rFonts w:hint="eastAsia" w:ascii="宋体" w:hAnsi="宋体" w:eastAsia="宋体" w:cs="宋体"/>
                <w:color w:val="000000"/>
                <w:kern w:val="0"/>
                <w:sz w:val="20"/>
                <w:szCs w:val="20"/>
                <w:highlight w:val="none"/>
                <w:lang w:val="en-US" w:eastAsia="zh-CN" w:bidi="ar"/>
              </w:rPr>
              <w:t>视觉传达设计人员</w:t>
            </w:r>
            <w:r>
              <w:rPr>
                <w:rFonts w:hint="eastAsia" w:ascii="宋体" w:hAnsi="宋体" w:eastAsia="宋体" w:cs="宋体"/>
                <w:bCs/>
                <w:color w:val="auto"/>
                <w:sz w:val="20"/>
                <w:szCs w:val="20"/>
                <w:highlight w:val="none"/>
                <w:lang w:val="en-US" w:eastAsia="zh-CN"/>
              </w:rPr>
              <w:t>(09-06-01)；</w:t>
            </w:r>
            <w:r>
              <w:rPr>
                <w:rFonts w:hint="eastAsia" w:ascii="宋体" w:hAnsi="宋体" w:eastAsia="宋体" w:cs="宋体"/>
                <w:bCs/>
                <w:color w:val="auto"/>
                <w:sz w:val="20"/>
                <w:szCs w:val="20"/>
                <w:highlight w:val="none"/>
                <w:lang w:val="en-US" w:eastAsia="zh-CN"/>
              </w:rPr>
              <w:br w:type="textWrapping"/>
            </w:r>
            <w:r>
              <w:rPr>
                <w:rFonts w:hint="eastAsia" w:ascii="宋体" w:hAnsi="宋体" w:eastAsia="宋体" w:cs="宋体"/>
                <w:bCs/>
                <w:color w:val="auto"/>
                <w:sz w:val="20"/>
                <w:szCs w:val="20"/>
                <w:highlight w:val="none"/>
              </w:rPr>
              <w:t>装潢美术设计</w:t>
            </w:r>
            <w:r>
              <w:rPr>
                <w:rFonts w:hint="eastAsia" w:ascii="宋体" w:hAnsi="宋体" w:eastAsia="宋体" w:cs="宋体"/>
                <w:bCs/>
                <w:color w:val="auto"/>
                <w:sz w:val="20"/>
                <w:szCs w:val="20"/>
                <w:highlight w:val="none"/>
                <w:lang w:val="en-US" w:eastAsia="zh-CN"/>
              </w:rPr>
              <w:t>师</w:t>
            </w:r>
            <w:r>
              <w:rPr>
                <w:rFonts w:hint="eastAsia" w:ascii="宋体" w:hAnsi="宋体" w:eastAsia="宋体" w:cs="宋体"/>
                <w:bCs/>
                <w:color w:val="auto"/>
                <w:sz w:val="20"/>
                <w:szCs w:val="20"/>
                <w:highlight w:val="none"/>
              </w:rPr>
              <w:t>(08-08-06)</w:t>
            </w:r>
            <w:r>
              <w:rPr>
                <w:rFonts w:hint="eastAsia" w:ascii="宋体" w:hAnsi="宋体" w:eastAsia="宋体" w:cs="宋体"/>
                <w:bCs/>
                <w:color w:val="auto"/>
                <w:sz w:val="20"/>
                <w:szCs w:val="20"/>
                <w:highlight w:val="none"/>
                <w:lang w:eastAsia="zh-CN"/>
              </w:rPr>
              <w:t>；</w:t>
            </w:r>
            <w:r>
              <w:rPr>
                <w:rFonts w:hint="eastAsia" w:ascii="宋体" w:hAnsi="宋体" w:eastAsia="宋体" w:cs="宋体"/>
                <w:bCs/>
                <w:color w:val="auto"/>
                <w:sz w:val="20"/>
                <w:szCs w:val="20"/>
                <w:highlight w:val="none"/>
                <w:lang w:eastAsia="zh-CN"/>
              </w:rPr>
              <w:br w:type="textWrapping"/>
            </w:r>
            <w:r>
              <w:rPr>
                <w:rFonts w:hint="eastAsia" w:ascii="宋体" w:hAnsi="宋体" w:eastAsia="宋体" w:cs="宋体"/>
                <w:bCs/>
                <w:color w:val="auto"/>
                <w:sz w:val="20"/>
                <w:szCs w:val="20"/>
                <w:highlight w:val="none"/>
                <w:lang w:val="en-US" w:eastAsia="zh-CN"/>
              </w:rPr>
              <w:t>包装设计师（4-08-08-09）；</w:t>
            </w:r>
            <w:r>
              <w:rPr>
                <w:rFonts w:hint="eastAsia" w:ascii="宋体" w:hAnsi="宋体" w:eastAsia="宋体" w:cs="宋体"/>
                <w:bCs/>
                <w:color w:val="auto"/>
                <w:sz w:val="20"/>
                <w:szCs w:val="20"/>
                <w:highlight w:val="none"/>
              </w:rPr>
              <w:t>装饰美工（</w:t>
            </w:r>
            <w:r>
              <w:rPr>
                <w:rFonts w:hint="eastAsia" w:ascii="宋体" w:hAnsi="宋体" w:eastAsia="宋体" w:cs="宋体"/>
                <w:bCs/>
                <w:color w:val="auto"/>
                <w:sz w:val="20"/>
                <w:szCs w:val="20"/>
                <w:highlight w:val="none"/>
                <w:lang w:val="en-US" w:eastAsia="zh-CN"/>
              </w:rPr>
              <w:t>4</w:t>
            </w:r>
            <w:r>
              <w:rPr>
                <w:rFonts w:hint="eastAsia" w:ascii="宋体" w:hAnsi="宋体" w:eastAsia="宋体" w:cs="宋体"/>
                <w:bCs/>
                <w:color w:val="auto"/>
                <w:sz w:val="20"/>
                <w:szCs w:val="20"/>
                <w:highlight w:val="none"/>
              </w:rPr>
              <w:t>-</w:t>
            </w:r>
            <w:r>
              <w:rPr>
                <w:rFonts w:hint="eastAsia" w:ascii="宋体" w:hAnsi="宋体" w:eastAsia="宋体" w:cs="宋体"/>
                <w:bCs/>
                <w:color w:val="auto"/>
                <w:sz w:val="20"/>
                <w:szCs w:val="20"/>
                <w:highlight w:val="none"/>
                <w:lang w:val="en-US" w:eastAsia="zh-CN"/>
              </w:rPr>
              <w:t>07</w:t>
            </w:r>
            <w:r>
              <w:rPr>
                <w:rFonts w:hint="eastAsia" w:ascii="宋体" w:hAnsi="宋体" w:eastAsia="宋体" w:cs="宋体"/>
                <w:bCs/>
                <w:color w:val="auto"/>
                <w:sz w:val="20"/>
                <w:szCs w:val="20"/>
                <w:highlight w:val="none"/>
              </w:rPr>
              <w:t>-0</w:t>
            </w:r>
            <w:r>
              <w:rPr>
                <w:rFonts w:hint="eastAsia" w:ascii="宋体" w:hAnsi="宋体" w:eastAsia="宋体" w:cs="宋体"/>
                <w:bCs/>
                <w:color w:val="auto"/>
                <w:sz w:val="20"/>
                <w:szCs w:val="20"/>
                <w:highlight w:val="none"/>
                <w:lang w:val="en-US" w:eastAsia="zh-CN"/>
              </w:rPr>
              <w:t>7</w:t>
            </w:r>
            <w:r>
              <w:rPr>
                <w:rFonts w:hint="eastAsia" w:ascii="宋体" w:hAnsi="宋体" w:eastAsia="宋体" w:cs="宋体"/>
                <w:bCs/>
                <w:color w:val="auto"/>
                <w:sz w:val="20"/>
                <w:szCs w:val="20"/>
                <w:highlight w:val="none"/>
              </w:rPr>
              <w:t>-0</w:t>
            </w:r>
            <w:r>
              <w:rPr>
                <w:rFonts w:hint="eastAsia" w:ascii="宋体" w:hAnsi="宋体" w:eastAsia="宋体" w:cs="宋体"/>
                <w:bCs/>
                <w:color w:val="auto"/>
                <w:sz w:val="20"/>
                <w:szCs w:val="20"/>
                <w:highlight w:val="none"/>
                <w:lang w:val="en-US" w:eastAsia="zh-CN"/>
              </w:rPr>
              <w:t>2</w:t>
            </w:r>
            <w:r>
              <w:rPr>
                <w:rFonts w:hint="eastAsia" w:ascii="宋体" w:hAnsi="宋体" w:eastAsia="宋体" w:cs="宋体"/>
                <w:bCs/>
                <w:color w:val="auto"/>
                <w:sz w:val="20"/>
                <w:szCs w:val="2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主要岗位（群）或技术领域举例</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highlight w:val="none"/>
                <w:lang w:val="en-US" w:eastAsia="zh-CN"/>
              </w:rPr>
              <w:t>视觉传播设计、策划与制作等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职业类证书举例</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highlight w:val="none"/>
                <w:lang w:val="en-US" w:eastAsia="zh-CN"/>
              </w:rPr>
              <w:t>界面设计职业技能等级证书（初级）；</w:t>
            </w:r>
            <w:r>
              <w:rPr>
                <w:rFonts w:hint="eastAsia" w:ascii="宋体" w:hAnsi="宋体" w:eastAsia="宋体" w:cs="宋体"/>
                <w:bCs/>
                <w:color w:val="auto"/>
                <w:sz w:val="20"/>
                <w:szCs w:val="20"/>
                <w:highlight w:val="none"/>
                <w:lang w:val="en-US" w:eastAsia="zh-CN"/>
              </w:rPr>
              <w:br w:type="textWrapping"/>
            </w:r>
            <w:r>
              <w:rPr>
                <w:rFonts w:hint="eastAsia" w:ascii="宋体" w:hAnsi="宋体" w:eastAsia="宋体" w:cs="宋体"/>
                <w:bCs/>
                <w:color w:val="auto"/>
                <w:sz w:val="20"/>
                <w:szCs w:val="20"/>
                <w:highlight w:val="none"/>
                <w:lang w:val="en-US" w:eastAsia="zh-CN"/>
              </w:rPr>
              <w:t>全国计算机一级等级证书</w:t>
            </w:r>
          </w:p>
        </w:tc>
      </w:tr>
    </w:tbl>
    <w:p>
      <w:pPr>
        <w:keepNext/>
        <w:keepLines/>
        <w:pageBreakBefore w:val="0"/>
        <w:widowControl w:val="0"/>
        <w:numPr>
          <w:ilvl w:val="0"/>
          <w:numId w:val="2"/>
        </w:numPr>
        <w:kinsoku/>
        <w:wordWrap/>
        <w:overflowPunct/>
        <w:topLinePunct w:val="0"/>
        <w:autoSpaceDE/>
        <w:autoSpaceDN/>
        <w:bidi w:val="0"/>
        <w:adjustRightInd/>
        <w:snapToGrid/>
        <w:spacing w:before="313" w:beforeLines="100" w:beforeAutospacing="0" w:after="30" w:afterLines="30" w:afterAutospacing="0" w:line="460" w:lineRule="exact"/>
        <w:ind w:firstLine="602" w:firstLineChars="200"/>
        <w:jc w:val="both"/>
        <w:textAlignment w:val="auto"/>
        <w:outlineLvl w:val="0"/>
        <w:rPr>
          <w:rFonts w:hint="eastAsia" w:eastAsia="黑体" w:asciiTheme="minorAscii" w:hAnsiTheme="minorAscii" w:cstheme="minorBidi"/>
          <w:b/>
          <w:color w:val="auto"/>
          <w:kern w:val="44"/>
          <w:sz w:val="30"/>
          <w:szCs w:val="24"/>
          <w:lang w:val="en-US" w:eastAsia="zh-CN" w:bidi="ar-SA"/>
        </w:rPr>
      </w:pPr>
      <w:bookmarkStart w:id="26" w:name="_Toc24550"/>
      <w:bookmarkStart w:id="27" w:name="_Toc5473"/>
      <w:bookmarkStart w:id="28" w:name="_Toc77"/>
      <w:r>
        <w:rPr>
          <w:rFonts w:hint="eastAsia" w:eastAsia="黑体" w:asciiTheme="minorAscii" w:hAnsiTheme="minorAscii" w:cstheme="minorBidi"/>
          <w:b/>
          <w:color w:val="auto"/>
          <w:kern w:val="44"/>
          <w:sz w:val="30"/>
          <w:szCs w:val="24"/>
          <w:lang w:val="en-US" w:eastAsia="zh-CN" w:bidi="ar-SA"/>
        </w:rPr>
        <w:t>培养目标</w:t>
      </w:r>
      <w:bookmarkEnd w:id="26"/>
      <w:bookmarkEnd w:id="27"/>
      <w:r>
        <w:rPr>
          <w:rFonts w:hint="eastAsia" w:eastAsia="黑体" w:asciiTheme="minorAscii" w:hAnsiTheme="minorAscii" w:cstheme="minorBidi"/>
          <w:b/>
          <w:color w:val="auto"/>
          <w:kern w:val="44"/>
          <w:sz w:val="30"/>
          <w:szCs w:val="24"/>
          <w:lang w:val="en-US" w:eastAsia="zh-CN" w:bidi="ar-SA"/>
        </w:rPr>
        <w:t>与规格</w:t>
      </w:r>
      <w:bookmarkEnd w:id="28"/>
    </w:p>
    <w:p>
      <w:pPr>
        <w:pStyle w:val="4"/>
        <w:numPr>
          <w:ilvl w:val="0"/>
          <w:numId w:val="3"/>
        </w:numPr>
        <w:bidi w:val="0"/>
        <w:ind w:left="0" w:leftChars="0" w:firstLine="420" w:firstLineChars="0"/>
        <w:rPr>
          <w:rFonts w:hint="default"/>
          <w:color w:val="auto"/>
          <w:lang w:val="en-US" w:eastAsia="zh-CN"/>
        </w:rPr>
      </w:pPr>
      <w:bookmarkStart w:id="29" w:name="_Toc27832"/>
      <w:bookmarkStart w:id="30" w:name="_Toc24927"/>
      <w:r>
        <w:rPr>
          <w:rFonts w:hint="eastAsia"/>
          <w:color w:val="auto"/>
          <w:lang w:val="en-US" w:eastAsia="zh-CN"/>
        </w:rPr>
        <w:t>培养目标</w:t>
      </w:r>
      <w:bookmarkEnd w:id="29"/>
      <w:bookmarkEnd w:id="3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本专业坚持立德树人，培养德智体美劳全面发展，掌握扎实的科学文化基础，面向文化创意和设计服务产业，掌握视觉设计与制作的专业知识，具备计算机平面设计的能力，具有工匠精神和信息素养，能够从事视觉传播设计、策划与制作等工作的复合型技术技能人才。</w:t>
      </w:r>
    </w:p>
    <w:p>
      <w:pPr>
        <w:pStyle w:val="4"/>
        <w:numPr>
          <w:ilvl w:val="0"/>
          <w:numId w:val="3"/>
        </w:numPr>
        <w:bidi w:val="0"/>
        <w:ind w:left="0" w:leftChars="0" w:firstLine="420" w:firstLineChars="0"/>
        <w:rPr>
          <w:rFonts w:hint="default"/>
          <w:color w:val="auto"/>
          <w:lang w:val="en-US" w:eastAsia="zh-CN"/>
        </w:rPr>
      </w:pPr>
      <w:bookmarkStart w:id="31" w:name="_Toc1985"/>
      <w:r>
        <w:rPr>
          <w:rFonts w:hint="eastAsia"/>
          <w:color w:val="auto"/>
          <w:lang w:val="en-US" w:eastAsia="zh-CN"/>
        </w:rPr>
        <w:t>培养规格</w:t>
      </w:r>
      <w:bookmarkEnd w:id="31"/>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bookmarkStart w:id="32" w:name="_Toc6263"/>
      <w:bookmarkStart w:id="33" w:name="_Toc22177"/>
      <w:r>
        <w:rPr>
          <w:rFonts w:hint="eastAsia" w:ascii="宋体" w:hAnsi="宋体" w:eastAsia="宋体" w:cs="宋体"/>
          <w:color w:val="auto"/>
          <w:kern w:val="2"/>
          <w:sz w:val="24"/>
          <w:szCs w:val="22"/>
          <w:lang w:val="en-US" w:eastAsia="zh-CN" w:bidi="ar"/>
        </w:rPr>
        <w:t>1.坚定拥护中国共产党领导和中国特色社会主义制度，以习近平新时代中国特色社会主义思想为指导，践行社会主义核心价值观，具有坚定的理想信念、深厚的爱国情感和中华民族自豪感；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2.掌握与本专业群从事职业活动相关的国家法律、行业规定，掌握知识产权、安全防护、质量管理等相关知识与技能，了解设计、制作、运营、教育等相关产业文化，遵守职业道德准则和行为规范，具备社会责任感和担当精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3.掌握支撑本专业群学习和可持续发展必备的思想政治、语文、数学、英语等文化基础知识，具有良好的科学与人文素养，具备职业生涯规划能力；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4.具有良好的语言表达能力、文字表达能力、沟通合作能力，具有较强的集体意识和团队合作意识，学习一门外语并结合本专业加以运用；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5.掌握美术、艺术鉴赏、图形图像处理和摄影摄像等方面的专业基础知识；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6.具备终身学习和可持续发展的能力，具有一定的分析问题和解决问题的能力；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7.具有适应文化创意产业新业态需求的基本数字技能，掌握信息技术、办公软件应用基础知识；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8.掌握基本身体运动知识和至少1项体育运动技能，养成良好的运动习惯、卫生习惯和行为习惯；具备一定的心理调适能力；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9.掌握必备的美育知识，具有一定的文化修养、审美能力，有基本的把握时尚流行趋势的能力，会欣赏美和创造美；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10.培育劳模精神、劳动精神、工匠精神，弘扬劳动光荣、技能宝贵、创造伟大的时代精神，热爱劳动人民、珍惜劳动成果、树立劳动观念、积极投身劳动，具备与本专业职业发展相适应的劳动素养、劳动技能；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11.掌握和应用素描、色彩和构成的基础知识及绘制方法，具备绘制草图表达设计思想的能力；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12.熟悉设计原理、设计规范、广告类型、广告创意方法和实现途径等专业知识，具备较好的审美素养、较强的视觉感受和视觉表现能力；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13.熟悉图形图像处理的基本操作知识，具备使用主流平面设计软件进行图形绘制、图文编辑、图像处理等设计能力；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14.掌握和应用数字成像、后期处理的基本知识和方法，具备摄影摄像、数字影像产品设计与制作的综合能力；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15.掌握和应用结构排版、包装设计、网页美工、界面设计等视觉形象设计知识，具备平面广告设计与制作、印刷排版、产品结构和外观设计、网页美化的能力。</w:t>
      </w:r>
    </w:p>
    <w:p>
      <w:pPr>
        <w:keepNext/>
        <w:keepLines/>
        <w:pageBreakBefore w:val="0"/>
        <w:widowControl w:val="0"/>
        <w:numPr>
          <w:ilvl w:val="0"/>
          <w:numId w:val="2"/>
        </w:numPr>
        <w:kinsoku/>
        <w:wordWrap/>
        <w:overflowPunct/>
        <w:topLinePunct w:val="0"/>
        <w:autoSpaceDE/>
        <w:autoSpaceDN/>
        <w:bidi w:val="0"/>
        <w:adjustRightInd/>
        <w:snapToGrid/>
        <w:spacing w:before="95" w:beforeLines="30" w:beforeAutospacing="0" w:after="30" w:afterLines="30" w:afterAutospacing="0" w:line="460" w:lineRule="exact"/>
        <w:ind w:firstLine="602" w:firstLineChars="200"/>
        <w:jc w:val="both"/>
        <w:textAlignment w:val="auto"/>
        <w:outlineLvl w:val="0"/>
        <w:rPr>
          <w:rFonts w:hint="eastAsia" w:eastAsia="黑体" w:asciiTheme="minorAscii" w:hAnsiTheme="minorAscii" w:cstheme="minorBidi"/>
          <w:b/>
          <w:color w:val="auto"/>
          <w:kern w:val="44"/>
          <w:sz w:val="30"/>
          <w:szCs w:val="24"/>
          <w:lang w:val="en-US" w:eastAsia="zh-CN" w:bidi="ar-SA"/>
        </w:rPr>
      </w:pPr>
      <w:bookmarkStart w:id="34" w:name="_Toc4600"/>
      <w:bookmarkStart w:id="35" w:name="_Toc8442"/>
      <w:r>
        <w:rPr>
          <w:rFonts w:hint="eastAsia" w:eastAsia="黑体" w:asciiTheme="minorAscii" w:hAnsiTheme="minorAscii" w:cstheme="minorBidi"/>
          <w:b/>
          <w:color w:val="auto"/>
          <w:kern w:val="44"/>
          <w:sz w:val="30"/>
          <w:szCs w:val="24"/>
          <w:lang w:val="en-US" w:eastAsia="zh-CN" w:bidi="ar-SA"/>
        </w:rPr>
        <w:t>升学继续专业</w:t>
      </w:r>
      <w:bookmarkEnd w:id="34"/>
      <w:bookmarkEnd w:id="35"/>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接续高职专业举例：视觉传达设计、广告艺术设计、包装策划与设计、数字媒体技术。</w:t>
      </w:r>
    </w:p>
    <w:bookmarkEnd w:id="32"/>
    <w:bookmarkEnd w:id="33"/>
    <w:p>
      <w:pPr>
        <w:keepNext/>
        <w:keepLines/>
        <w:pageBreakBefore w:val="0"/>
        <w:widowControl w:val="0"/>
        <w:numPr>
          <w:ilvl w:val="0"/>
          <w:numId w:val="2"/>
        </w:numPr>
        <w:kinsoku/>
        <w:wordWrap/>
        <w:overflowPunct/>
        <w:topLinePunct w:val="0"/>
        <w:autoSpaceDE/>
        <w:autoSpaceDN/>
        <w:bidi w:val="0"/>
        <w:adjustRightInd/>
        <w:snapToGrid/>
        <w:spacing w:before="95" w:beforeLines="30" w:beforeAutospacing="0" w:after="30" w:afterLines="30" w:afterAutospacing="0" w:line="460" w:lineRule="exact"/>
        <w:ind w:firstLine="602" w:firstLineChars="200"/>
        <w:jc w:val="both"/>
        <w:textAlignment w:val="auto"/>
        <w:outlineLvl w:val="0"/>
        <w:rPr>
          <w:rFonts w:hint="eastAsia" w:eastAsia="黑体" w:asciiTheme="minorAscii" w:hAnsiTheme="minorAscii" w:cstheme="minorBidi"/>
          <w:b/>
          <w:color w:val="auto"/>
          <w:kern w:val="44"/>
          <w:sz w:val="30"/>
          <w:szCs w:val="24"/>
          <w:lang w:val="en-US" w:eastAsia="zh-CN" w:bidi="ar-SA"/>
        </w:rPr>
      </w:pPr>
      <w:bookmarkStart w:id="36" w:name="_Toc4519"/>
      <w:bookmarkStart w:id="37" w:name="_Toc19603"/>
      <w:bookmarkStart w:id="38" w:name="_Toc25813"/>
      <w:bookmarkStart w:id="39" w:name="_Toc13506"/>
      <w:r>
        <w:rPr>
          <w:rFonts w:hint="eastAsia" w:eastAsia="黑体" w:asciiTheme="minorAscii" w:hAnsiTheme="minorAscii" w:cstheme="minorBidi"/>
          <w:b/>
          <w:color w:val="auto"/>
          <w:kern w:val="44"/>
          <w:sz w:val="30"/>
          <w:szCs w:val="24"/>
          <w:lang w:val="en-US" w:eastAsia="zh-CN" w:bidi="ar-SA"/>
        </w:rPr>
        <w:t>课程设置及要求</w:t>
      </w:r>
      <w:bookmarkEnd w:id="36"/>
      <w:bookmarkEnd w:id="37"/>
      <w:bookmarkEnd w:id="38"/>
      <w:bookmarkEnd w:id="39"/>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本专业课程设置分为公共基础课程和专业课程。</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公共基础课程包括根据学生全面发展需要，设置军训及入学教育、劳动与行为习惯养成教育、习近平新时代读本、中国特色社会主义、心理健康与职业生涯、哲学与人生、职业道德与法治、信息技术、历史、公共艺术（音乐）、公共艺术（美术）、体育与健康、语文、数学、英语等必修课程，还包括根据学生发展设置的中华传统文化、物理选修课程。</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专业课程包括专业群平台课、专业基础课程、专业核心课程、专业拓展课程，并涵盖实训等有关实践性教学环节。</w:t>
      </w:r>
    </w:p>
    <w:p>
      <w:pPr>
        <w:pStyle w:val="4"/>
        <w:numPr>
          <w:ilvl w:val="0"/>
          <w:numId w:val="4"/>
        </w:numPr>
        <w:bidi w:val="0"/>
        <w:ind w:left="0" w:leftChars="0" w:firstLine="420" w:firstLineChars="0"/>
        <w:rPr>
          <w:rFonts w:hint="default"/>
          <w:color w:val="auto"/>
          <w:lang w:val="en-US" w:eastAsia="zh-CN"/>
        </w:rPr>
      </w:pPr>
      <w:bookmarkStart w:id="40" w:name="_Toc26889"/>
      <w:bookmarkStart w:id="41" w:name="_Toc16325"/>
      <w:r>
        <w:rPr>
          <w:rFonts w:hint="eastAsia"/>
          <w:color w:val="auto"/>
          <w:lang w:val="en-US" w:eastAsia="zh-CN"/>
        </w:rPr>
        <w:t>公共基础课程教学内容及要求</w:t>
      </w:r>
      <w:bookmarkEnd w:id="40"/>
      <w:bookmarkEnd w:id="41"/>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widowControl w:val="0"/>
              <w:kinsoku/>
              <w:wordWrap/>
              <w:overflowPunct/>
              <w:topLinePunct w:val="0"/>
              <w:bidi w:val="0"/>
              <w:snapToGrid/>
              <w:spacing w:line="340" w:lineRule="exact"/>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widowControl w:val="0"/>
              <w:kinsoku/>
              <w:wordWrap/>
              <w:overflowPunct/>
              <w:topLinePunct w:val="0"/>
              <w:bidi w:val="0"/>
              <w:snapToGrid/>
              <w:spacing w:line="340" w:lineRule="exact"/>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widowControl w:val="0"/>
              <w:kinsoku/>
              <w:wordWrap/>
              <w:overflowPunct/>
              <w:topLinePunct w:val="0"/>
              <w:bidi w:val="0"/>
              <w:snapToGrid/>
              <w:spacing w:line="340" w:lineRule="exact"/>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军训及入学</w:t>
            </w:r>
          </w:p>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教育</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bCs/>
                <w:sz w:val="21"/>
                <w:szCs w:val="21"/>
              </w:rPr>
              <w:t>依据中等职业学校军训及入学教育相关要求开设，通过本课程的学习，提高学生的政治觉悟，激发爱国热情，发扬革命英雄主义精神，培养艰苦奋斗</w:t>
            </w:r>
            <w:r>
              <w:rPr>
                <w:rFonts w:hint="eastAsia" w:ascii="宋体" w:hAnsi="宋体" w:eastAsia="宋体" w:cs="宋体"/>
                <w:bCs/>
                <w:sz w:val="21"/>
                <w:szCs w:val="21"/>
                <w:lang w:eastAsia="zh-CN"/>
              </w:rPr>
              <w:t>、</w:t>
            </w:r>
            <w:r>
              <w:rPr>
                <w:rFonts w:hint="eastAsia" w:ascii="宋体" w:hAnsi="宋体" w:eastAsia="宋体" w:cs="宋体"/>
                <w:bCs/>
                <w:sz w:val="21"/>
                <w:szCs w:val="21"/>
              </w:rPr>
              <w:t>刻苦耐劳的坚强毅力和集体主义精神</w:t>
            </w:r>
            <w:r>
              <w:rPr>
                <w:rFonts w:hint="eastAsia" w:ascii="宋体" w:hAnsi="宋体" w:eastAsia="宋体" w:cs="宋体"/>
                <w:bCs/>
                <w:sz w:val="21"/>
                <w:szCs w:val="21"/>
                <w:lang w:eastAsia="zh-CN"/>
              </w:rPr>
              <w:t>，</w:t>
            </w:r>
            <w:r>
              <w:rPr>
                <w:rFonts w:hint="eastAsia" w:ascii="宋体" w:hAnsi="宋体" w:eastAsia="宋体" w:cs="宋体"/>
                <w:bCs/>
                <w:sz w:val="21"/>
                <w:szCs w:val="21"/>
              </w:rPr>
              <w:t>养成良好的学风和生活作风，引导学生适应校园生活，帮助学校了解学校、了解专业、了解学习的内容和目的。</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劳动与行为</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习惯养成教育</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落实</w:t>
            </w:r>
            <w:r>
              <w:rPr>
                <w:rFonts w:hint="eastAsia" w:ascii="宋体" w:hAnsi="宋体" w:eastAsia="宋体" w:cs="宋体"/>
                <w:color w:val="auto"/>
                <w:sz w:val="21"/>
                <w:szCs w:val="21"/>
                <w:highlight w:val="none"/>
                <w:lang w:val="zh-CN"/>
              </w:rPr>
              <w:t>立德树人根本任务，</w:t>
            </w:r>
            <w:r>
              <w:rPr>
                <w:rFonts w:hint="eastAsia" w:ascii="宋体" w:hAnsi="宋体" w:eastAsia="宋体" w:cs="宋体"/>
                <w:color w:val="auto"/>
                <w:sz w:val="21"/>
                <w:szCs w:val="21"/>
                <w:highlight w:val="none"/>
                <w:lang w:val="zh-CN" w:eastAsia="zh-CN"/>
              </w:rPr>
              <w:t>学生在工农业生产过程中直接经历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习近平新时代读本</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落实</w:t>
            </w:r>
            <w:r>
              <w:rPr>
                <w:rFonts w:hint="eastAsia" w:ascii="宋体" w:hAnsi="宋体" w:eastAsia="宋体" w:cs="宋体"/>
                <w:color w:val="auto"/>
                <w:sz w:val="21"/>
                <w:szCs w:val="21"/>
                <w:highlight w:val="none"/>
                <w:lang w:val="zh-CN"/>
              </w:rPr>
              <w:t>立德树人根本任务，</w:t>
            </w:r>
            <w:r>
              <w:rPr>
                <w:rFonts w:hint="eastAsia" w:ascii="宋体" w:hAnsi="宋体" w:cs="宋体"/>
                <w:color w:val="auto"/>
                <w:sz w:val="21"/>
                <w:szCs w:val="21"/>
                <w:highlight w:val="none"/>
                <w:lang w:val="en-US" w:eastAsia="zh-CN"/>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中国特色</w:t>
            </w:r>
          </w:p>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lang w:val="zh-CN"/>
              </w:rPr>
              <w:t>社会主义</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心理健康与</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职业生涯</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哲学与人生</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职业道德与</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法治</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highlight w:val="none"/>
                <w:lang w:val="zh-CN"/>
              </w:rPr>
              <w:t>信息技术</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在义务教育的基础上，通过理论知识学习、基础技能训练和综合应用实践，培养学生符合时代要求的信息素养和适应职业发展需要的信息能力。</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highlight w:val="none"/>
                <w:lang w:val="zh-CN"/>
              </w:rPr>
              <w:t>历史</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落实立德树人的根本任务，通过本课程</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学习，</w:t>
            </w:r>
            <w:r>
              <w:rPr>
                <w:rFonts w:hint="eastAsia" w:ascii="宋体" w:hAnsi="宋体" w:eastAsia="宋体" w:cs="宋体"/>
                <w:color w:val="auto"/>
                <w:sz w:val="21"/>
                <w:szCs w:val="21"/>
                <w:highlight w:val="none"/>
                <w:lang w:val="en-US" w:eastAsia="zh-CN"/>
              </w:rPr>
              <w:t>使学生</w:t>
            </w:r>
            <w:r>
              <w:rPr>
                <w:rFonts w:hint="eastAsia" w:ascii="宋体" w:hAnsi="宋体" w:eastAsia="宋体" w:cs="宋体"/>
                <w:color w:val="auto"/>
                <w:sz w:val="21"/>
                <w:szCs w:val="21"/>
                <w:highlight w:val="none"/>
                <w:lang w:val="zh-CN"/>
              </w:rPr>
              <w:t>掌握必备的历史知识，形成历史学科核心素养。</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lang w:val="en-US" w:eastAsia="zh-CN"/>
              </w:rPr>
              <w:t>公共</w:t>
            </w:r>
            <w:r>
              <w:rPr>
                <w:rFonts w:hint="eastAsia" w:ascii="宋体" w:hAnsi="宋体" w:eastAsia="宋体" w:cs="宋体"/>
                <w:color w:val="auto"/>
                <w:sz w:val="21"/>
                <w:szCs w:val="21"/>
                <w:highlight w:val="none"/>
                <w:lang w:val="zh-CN"/>
              </w:rPr>
              <w:t>艺术</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落实立德树人根本任务，学生通过艺术鉴赏与实践等活动，发展艺术感知、审美判断、创意表达和文化理解等艺术核心素养。</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val="zh-CN"/>
              </w:rPr>
              <w:t>体育与健康</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落实立德树人的根本任务，以体育人，增强学生体质，通过本课程</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学习，帮助学生在体育锻炼中享受乐趣、增强体质、健全人格、锤炼意志，使学生在运动能力、健康行为和体育精神三方面获得全面发展。</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语文</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w:t>
            </w:r>
            <w:r>
              <w:rPr>
                <w:rFonts w:hint="eastAsia" w:ascii="宋体" w:hAnsi="宋体" w:eastAsia="宋体" w:cs="宋体"/>
                <w:color w:val="auto"/>
                <w:sz w:val="21"/>
                <w:szCs w:val="21"/>
                <w:highlight w:val="none"/>
                <w:lang w:val="en-US" w:eastAsia="zh-CN"/>
              </w:rPr>
              <w:t>通过本课程的学习，学生</w:t>
            </w:r>
            <w:r>
              <w:rPr>
                <w:rFonts w:hint="eastAsia" w:ascii="宋体" w:hAnsi="宋体" w:eastAsia="宋体" w:cs="宋体"/>
                <w:color w:val="auto"/>
                <w:sz w:val="21"/>
                <w:szCs w:val="21"/>
                <w:highlight w:val="none"/>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数学</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学生获得继续学习、未来工作和发展所必需的数学基础知识、基本技能、基本思想和基本活动经验，</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lang w:val="zh-CN"/>
              </w:rPr>
              <w:t>从数学角度发现和提出问题的能力、运用数学知识和思想方法分析和解决问题的能力。</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英语</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落实立德树人根本任务，在义务教育的基础上，</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进一步激发学生英语学习的兴趣，帮助学生掌握基础知识和基本技能，发展英语学科核心素养，为学生的职业生涯、继续学习和终身发展奠定基础。</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144</w:t>
            </w:r>
          </w:p>
        </w:tc>
      </w:tr>
    </w:tbl>
    <w:p>
      <w:pPr>
        <w:pStyle w:val="4"/>
        <w:numPr>
          <w:ilvl w:val="0"/>
          <w:numId w:val="4"/>
        </w:numPr>
        <w:bidi w:val="0"/>
        <w:ind w:left="0" w:leftChars="0" w:firstLine="420" w:firstLineChars="0"/>
        <w:rPr>
          <w:rFonts w:hint="default"/>
          <w:color w:val="auto"/>
          <w:lang w:val="en-US" w:eastAsia="zh-CN"/>
        </w:rPr>
      </w:pPr>
      <w:bookmarkStart w:id="42" w:name="_Toc9486"/>
      <w:bookmarkStart w:id="43" w:name="_Toc23959"/>
      <w:r>
        <w:rPr>
          <w:rFonts w:hint="eastAsia"/>
          <w:color w:val="auto"/>
          <w:lang w:val="en-US" w:eastAsia="zh-CN"/>
        </w:rPr>
        <w:t>专业课程教学内容及要求</w:t>
      </w:r>
      <w:bookmarkEnd w:id="42"/>
      <w:bookmarkEnd w:id="43"/>
    </w:p>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1.专业群平台课</w:t>
      </w:r>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美术基础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群平台</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课程的学习，学生掌握由简入繁、循序渐进的教学程序，克服素描缺少三面五调，色彩绘画因各种原因所造成的“脏、粉、灰、花、生、变色”等问题，从而能够熟练地掌握静物组合素描、水粉色彩的作品绘画。</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艺术鉴赏</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本课程属于专业群</w:t>
            </w:r>
            <w:r>
              <w:rPr>
                <w:rFonts w:hint="eastAsia" w:ascii="宋体" w:hAnsi="宋体" w:eastAsia="宋体" w:cs="宋体"/>
                <w:color w:val="auto"/>
                <w:sz w:val="21"/>
                <w:szCs w:val="21"/>
                <w:lang w:val="en-US" w:eastAsia="zh-CN"/>
              </w:rPr>
              <w:t>平台</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课程的学习，学生熟悉中外各历史时期的重要画派、画家和经典美术作品，开阔眼界，丰富知识，提高艺术审美和美术鉴赏能力，</w:t>
            </w:r>
            <w:r>
              <w:rPr>
                <w:rFonts w:hint="eastAsia" w:ascii="宋体" w:hAnsi="宋体" w:eastAsia="宋体" w:cs="宋体"/>
                <w:color w:val="auto"/>
                <w:sz w:val="21"/>
                <w:szCs w:val="21"/>
                <w:lang w:val="en-US" w:eastAsia="zh-CN"/>
              </w:rPr>
              <w:t>能</w:t>
            </w:r>
            <w:r>
              <w:rPr>
                <w:rFonts w:hint="eastAsia" w:ascii="宋体" w:hAnsi="宋体" w:eastAsia="宋体" w:cs="宋体"/>
                <w:color w:val="auto"/>
                <w:sz w:val="21"/>
                <w:szCs w:val="21"/>
                <w:lang w:val="zh-CN"/>
              </w:rPr>
              <w:t>运用自己的视觉感知、过去已经有的生活经验和文化知识对美术作品进行感受、体验、联想、分析和判断，获得审美享受，并理解美术作品与美术现象的活动，</w:t>
            </w:r>
            <w:r>
              <w:rPr>
                <w:rFonts w:hint="eastAsia" w:ascii="宋体" w:hAnsi="宋体" w:eastAsia="宋体" w:cs="宋体"/>
                <w:color w:val="auto"/>
                <w:sz w:val="21"/>
                <w:szCs w:val="21"/>
                <w:lang w:val="en-US" w:eastAsia="zh-CN"/>
              </w:rPr>
              <w:t>从而</w:t>
            </w:r>
            <w:r>
              <w:rPr>
                <w:rFonts w:hint="eastAsia" w:ascii="宋体" w:hAnsi="宋体" w:eastAsia="宋体" w:cs="宋体"/>
                <w:color w:val="auto"/>
                <w:sz w:val="21"/>
                <w:szCs w:val="21"/>
                <w:lang w:val="zh-CN"/>
              </w:rPr>
              <w:t>掌握获得审美享受、提高审美能力、陶冶情操、理解美术作品与美术现象的特殊的精神活动，也是鉴赏者能够对美术作品再创作的过程。</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图形图像基础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本课程属于专业群</w:t>
            </w:r>
            <w:r>
              <w:rPr>
                <w:rFonts w:hint="eastAsia" w:ascii="宋体" w:hAnsi="宋体" w:eastAsia="宋体" w:cs="宋体"/>
                <w:color w:val="auto"/>
                <w:sz w:val="21"/>
                <w:szCs w:val="21"/>
                <w:lang w:val="en-US" w:eastAsia="zh-CN"/>
              </w:rPr>
              <w:t>平台</w:t>
            </w:r>
            <w:r>
              <w:rPr>
                <w:rFonts w:hint="eastAsia" w:ascii="宋体" w:hAnsi="宋体" w:eastAsia="宋体" w:cs="宋体"/>
                <w:color w:val="auto"/>
                <w:sz w:val="21"/>
                <w:szCs w:val="21"/>
                <w:lang w:val="zh-CN"/>
              </w:rPr>
              <w:t>课，</w:t>
            </w:r>
            <w:r>
              <w:rPr>
                <w:rFonts w:hint="eastAsia" w:ascii="宋体" w:hAnsi="宋体" w:eastAsia="宋体" w:cs="宋体"/>
                <w:i w:val="0"/>
                <w:iCs w:val="0"/>
                <w:color w:val="000000"/>
                <w:kern w:val="0"/>
                <w:sz w:val="21"/>
                <w:szCs w:val="21"/>
                <w:u w:val="none"/>
                <w:lang w:val="en-US" w:eastAsia="zh-CN" w:bidi="ar"/>
              </w:rPr>
              <w:t>通过本课程的学习，学生能熟悉图形图像处理的基本方法，全面掌握Photoshop操作应用的各个知识点及在平面设计中的应用，结合网络营销的策划需求，熟练对图片进行简单的加工处理，并且进行一定的创意设计。</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影像技术基础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本课程属于专业群</w:t>
            </w:r>
            <w:r>
              <w:rPr>
                <w:rFonts w:hint="eastAsia" w:ascii="宋体" w:hAnsi="宋体" w:eastAsia="宋体" w:cs="宋体"/>
                <w:color w:val="auto"/>
                <w:sz w:val="21"/>
                <w:szCs w:val="21"/>
                <w:lang w:val="en-US" w:eastAsia="zh-CN"/>
              </w:rPr>
              <w:t>平台</w:t>
            </w:r>
            <w:r>
              <w:rPr>
                <w:rFonts w:hint="eastAsia" w:ascii="宋体" w:hAnsi="宋体" w:eastAsia="宋体" w:cs="宋体"/>
                <w:color w:val="auto"/>
                <w:sz w:val="21"/>
                <w:szCs w:val="21"/>
                <w:lang w:val="zh-CN"/>
              </w:rPr>
              <w:t>课，</w:t>
            </w:r>
            <w:r>
              <w:rPr>
                <w:rFonts w:hint="eastAsia" w:ascii="宋体" w:hAnsi="宋体" w:eastAsia="宋体" w:cs="宋体"/>
                <w:i w:val="0"/>
                <w:iCs w:val="0"/>
                <w:color w:val="000000"/>
                <w:kern w:val="0"/>
                <w:sz w:val="21"/>
                <w:szCs w:val="21"/>
                <w:u w:val="none"/>
                <w:lang w:val="en-US" w:eastAsia="zh-CN" w:bidi="ar"/>
              </w:rPr>
              <w:t>通过本课程的学习，</w:t>
            </w:r>
            <w:r>
              <w:rPr>
                <w:rFonts w:hint="eastAsia" w:ascii="宋体" w:hAnsi="宋体" w:eastAsia="宋体" w:cs="宋体"/>
                <w:color w:val="auto"/>
                <w:sz w:val="21"/>
                <w:szCs w:val="21"/>
                <w:lang w:val="zh-CN"/>
              </w:rPr>
              <w:t>学生了解摄影与摄影设备的基本知识，掌握构图、采光、取景及后期制作等技能，可以独立完成景物、人物的拍摄，并具有一定的审美价值。</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72</w:t>
            </w:r>
          </w:p>
        </w:tc>
      </w:tr>
    </w:tbl>
    <w:p>
      <w:pPr>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br w:type="page"/>
      </w:r>
    </w:p>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2.专业基础课</w:t>
      </w:r>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6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构成基础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本课程属于专业基础课，通过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课程的学习，学生</w:t>
            </w:r>
            <w:r>
              <w:rPr>
                <w:rFonts w:hint="eastAsia" w:ascii="宋体" w:hAnsi="宋体" w:eastAsia="宋体" w:cs="宋体"/>
                <w:color w:val="auto"/>
                <w:sz w:val="21"/>
                <w:szCs w:val="21"/>
                <w:lang w:val="en-US" w:eastAsia="zh-CN"/>
              </w:rPr>
              <w:t>掌握</w:t>
            </w:r>
            <w:r>
              <w:rPr>
                <w:rFonts w:hint="eastAsia" w:ascii="宋体" w:hAnsi="宋体" w:eastAsia="宋体" w:cs="宋体"/>
                <w:color w:val="auto"/>
                <w:sz w:val="21"/>
                <w:szCs w:val="21"/>
                <w:lang w:val="zh-CN"/>
              </w:rPr>
              <w:t>平面构成、色彩构成、平面形态的构成原理和方法，色彩的基础理论、基本属性和色彩混合构成原理和方法的相关知识，</w:t>
            </w:r>
            <w:r>
              <w:rPr>
                <w:rFonts w:hint="eastAsia" w:ascii="宋体" w:hAnsi="宋体" w:eastAsia="宋体" w:cs="宋体"/>
                <w:color w:val="auto"/>
                <w:sz w:val="21"/>
                <w:szCs w:val="21"/>
                <w:lang w:val="en-US" w:eastAsia="zh-CN"/>
              </w:rPr>
              <w:t>具备</w:t>
            </w:r>
            <w:r>
              <w:rPr>
                <w:rFonts w:hint="eastAsia" w:ascii="宋体" w:hAnsi="宋体" w:eastAsia="宋体" w:cs="宋体"/>
                <w:color w:val="auto"/>
                <w:sz w:val="21"/>
                <w:szCs w:val="21"/>
                <w:lang w:val="zh-CN"/>
              </w:rPr>
              <w:t>艺术审美能力、艺术造型能力、色彩想象力、色彩表现能力，能够通过素描和色彩工具制作出平面构成、色彩构成作品，</w:t>
            </w:r>
            <w:r>
              <w:rPr>
                <w:rFonts w:hint="eastAsia" w:ascii="宋体" w:hAnsi="宋体" w:eastAsia="宋体" w:cs="宋体"/>
                <w:color w:val="auto"/>
                <w:sz w:val="21"/>
                <w:szCs w:val="21"/>
                <w:lang w:val="en-US" w:eastAsia="zh-CN"/>
              </w:rPr>
              <w:t>从而</w:t>
            </w:r>
            <w:r>
              <w:rPr>
                <w:rFonts w:hint="eastAsia" w:ascii="宋体" w:hAnsi="宋体" w:eastAsia="宋体" w:cs="宋体"/>
                <w:color w:val="auto"/>
                <w:sz w:val="21"/>
                <w:szCs w:val="21"/>
                <w:lang w:val="zh-CN"/>
              </w:rPr>
              <w:t>为后续专业核心课程的学习打下良好基础，并在教学中使学生具备良好职业道德素养、严谨细致专注的工作态度。</w:t>
            </w:r>
          </w:p>
        </w:tc>
        <w:tc>
          <w:tcPr>
            <w:tcW w:w="1130" w:type="dxa"/>
            <w:vAlign w:val="center"/>
          </w:tcPr>
          <w:p>
            <w:pPr>
              <w:keepNext w:val="0"/>
              <w:keepLines w:val="0"/>
              <w:pageBreakBefore w:val="0"/>
              <w:widowControl/>
              <w:suppressLineNumbers w:val="0"/>
              <w:kinsoku/>
              <w:wordWrap/>
              <w:overflowPunct/>
              <w:topLinePunct w:val="0"/>
              <w:bidi w:val="0"/>
              <w:snapToGrid/>
              <w:spacing w:line="36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i w:val="0"/>
                <w:iCs w:val="0"/>
                <w:color w:val="000000"/>
                <w:kern w:val="0"/>
                <w:sz w:val="21"/>
                <w:szCs w:val="21"/>
                <w:u w:val="none"/>
                <w:lang w:val="en-US" w:eastAsia="zh-CN" w:bidi="ar"/>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设计美术基础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本课程属于专业基础课，通过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学生能掌握</w:t>
            </w:r>
            <w:r>
              <w:rPr>
                <w:rFonts w:hint="eastAsia" w:ascii="宋体" w:hAnsi="宋体" w:eastAsia="宋体" w:cs="宋体"/>
                <w:color w:val="auto"/>
                <w:sz w:val="21"/>
                <w:szCs w:val="21"/>
                <w:lang w:val="zh-CN"/>
              </w:rPr>
              <w:t>静物的色彩、质感的表现与光影之间的联系，</w:t>
            </w:r>
            <w:r>
              <w:rPr>
                <w:rFonts w:hint="eastAsia" w:ascii="宋体" w:hAnsi="宋体" w:eastAsia="宋体" w:cs="宋体"/>
                <w:color w:val="auto"/>
                <w:sz w:val="21"/>
                <w:szCs w:val="21"/>
                <w:lang w:val="en-US" w:eastAsia="zh-CN"/>
              </w:rPr>
              <w:t>会</w:t>
            </w:r>
            <w:r>
              <w:rPr>
                <w:rFonts w:hint="eastAsia" w:ascii="宋体" w:hAnsi="宋体" w:eastAsia="宋体" w:cs="宋体"/>
                <w:color w:val="auto"/>
                <w:sz w:val="21"/>
                <w:szCs w:val="21"/>
                <w:lang w:val="zh-CN"/>
              </w:rPr>
              <w:t>观察静物本身在不同的光照下</w:t>
            </w:r>
            <w:r>
              <w:rPr>
                <w:rFonts w:hint="eastAsia" w:ascii="宋体" w:hAnsi="宋体" w:cs="宋体"/>
                <w:color w:val="auto"/>
                <w:sz w:val="21"/>
                <w:szCs w:val="21"/>
                <w:lang w:val="en-US" w:eastAsia="zh-CN"/>
              </w:rPr>
              <w:t>所</w:t>
            </w:r>
            <w:r>
              <w:rPr>
                <w:rFonts w:hint="eastAsia" w:ascii="宋体" w:hAnsi="宋体" w:eastAsia="宋体" w:cs="宋体"/>
                <w:color w:val="auto"/>
                <w:sz w:val="21"/>
                <w:szCs w:val="21"/>
                <w:lang w:val="zh-CN"/>
              </w:rPr>
              <w:t>呈现出来的色彩、质地等特质，取得较好的素描和色彩表现效果，从而能够熟练地掌握静物组合素描、水粉色彩的作品绘画，使学生动手能力、思考能力和解决问题的能力，锻炼学生创新精神。</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54</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3.专业核心课</w:t>
      </w:r>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图形图像处理</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rPr>
              <w:t>课程的学习，学生</w:t>
            </w:r>
            <w:r>
              <w:rPr>
                <w:rFonts w:hint="eastAsia" w:ascii="宋体" w:hAnsi="宋体" w:eastAsia="宋体" w:cs="宋体"/>
                <w:color w:val="auto"/>
                <w:sz w:val="21"/>
                <w:szCs w:val="21"/>
                <w:lang w:val="en-US" w:eastAsia="zh-CN"/>
              </w:rPr>
              <w:t>能</w:t>
            </w:r>
            <w:r>
              <w:rPr>
                <w:rFonts w:hint="eastAsia" w:ascii="宋体" w:hAnsi="宋体" w:eastAsia="宋体" w:cs="宋体"/>
                <w:color w:val="auto"/>
                <w:sz w:val="21"/>
                <w:szCs w:val="21"/>
              </w:rPr>
              <w:t>掌握图形图像造型的形式美和构图本身的形式美法则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能</w:t>
            </w:r>
            <w:r>
              <w:rPr>
                <w:rFonts w:hint="eastAsia" w:ascii="宋体" w:hAnsi="宋体" w:eastAsia="宋体" w:cs="宋体"/>
                <w:color w:val="auto"/>
                <w:sz w:val="21"/>
                <w:szCs w:val="21"/>
              </w:rPr>
              <w:t>利用图形语言传达信息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并通过电脑使用设计软件表达出自己的创意，能够完成各类作品设计的图形图像处理与制作。</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i w:val="0"/>
                <w:iCs w:val="0"/>
                <w:color w:val="000000"/>
                <w:kern w:val="0"/>
                <w:sz w:val="21"/>
                <w:szCs w:val="21"/>
                <w:u w:val="none"/>
                <w:lang w:val="en-US" w:eastAsia="zh-CN" w:bidi="ar"/>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影像与后期</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制作</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rPr>
              <w:t>课程的学习，</w:t>
            </w:r>
            <w:r>
              <w:rPr>
                <w:rFonts w:hint="eastAsia" w:ascii="宋体" w:hAnsi="宋体" w:eastAsia="宋体" w:cs="宋体"/>
                <w:color w:val="auto"/>
                <w:sz w:val="21"/>
                <w:szCs w:val="21"/>
                <w:lang w:val="en-US" w:eastAsia="zh-CN"/>
              </w:rPr>
              <w:t>学生能掌握</w:t>
            </w:r>
            <w:r>
              <w:rPr>
                <w:rFonts w:hint="eastAsia" w:ascii="宋体" w:hAnsi="宋体" w:eastAsia="宋体" w:cs="宋体"/>
                <w:i w:val="0"/>
                <w:iCs w:val="0"/>
                <w:color w:val="000000"/>
                <w:kern w:val="0"/>
                <w:sz w:val="21"/>
                <w:szCs w:val="21"/>
                <w:u w:val="none"/>
                <w:lang w:val="en-US" w:eastAsia="zh-CN" w:bidi="ar"/>
              </w:rPr>
              <w:t>视频剪辑的流程、知识、技能与方法等内容和Premiere的主要功能和操作技巧，从而能够进行视频剪辑、视频转场、镜头组接、视频特效、画面调色校色、抠像合成、字幕制作、音频剪辑与特效等基本操作，制作具有专业水准的视频作品，具备胜任岗位工作的专业能力。</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版式与广告</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rPr>
              <w:t>课程的学习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学生掌握</w:t>
            </w:r>
            <w:r>
              <w:rPr>
                <w:rFonts w:hint="eastAsia" w:ascii="宋体" w:hAnsi="宋体" w:eastAsia="宋体" w:cs="宋体"/>
                <w:color w:val="auto"/>
                <w:sz w:val="21"/>
                <w:szCs w:val="21"/>
                <w:lang w:val="zh-CN"/>
              </w:rPr>
              <w:t>海报设计基本理论知识、海报的鉴赏、创意、设计、适用软件等内容，</w:t>
            </w:r>
            <w:r>
              <w:rPr>
                <w:rFonts w:hint="eastAsia" w:ascii="宋体" w:hAnsi="宋体" w:eastAsia="宋体" w:cs="宋体"/>
                <w:color w:val="auto"/>
                <w:sz w:val="21"/>
                <w:szCs w:val="21"/>
                <w:lang w:val="en-US" w:eastAsia="zh-CN"/>
              </w:rPr>
              <w:t>并能够</w:t>
            </w:r>
            <w:r>
              <w:rPr>
                <w:rFonts w:hint="eastAsia" w:ascii="宋体" w:hAnsi="宋体" w:eastAsia="宋体" w:cs="宋体"/>
                <w:color w:val="auto"/>
                <w:sz w:val="21"/>
                <w:szCs w:val="21"/>
                <w:lang w:val="zh-CN"/>
              </w:rPr>
              <w:t>了解现代海报的发展趋势，</w:t>
            </w:r>
            <w:r>
              <w:rPr>
                <w:rFonts w:hint="eastAsia" w:ascii="宋体" w:hAnsi="宋体" w:eastAsia="宋体" w:cs="宋体"/>
                <w:color w:val="auto"/>
                <w:sz w:val="21"/>
                <w:szCs w:val="21"/>
                <w:lang w:val="en-US" w:eastAsia="zh-CN"/>
              </w:rPr>
              <w:t>掌握</w:t>
            </w:r>
            <w:r>
              <w:rPr>
                <w:rFonts w:hint="eastAsia" w:ascii="宋体" w:hAnsi="宋体" w:eastAsia="宋体" w:cs="宋体"/>
                <w:color w:val="auto"/>
                <w:sz w:val="21"/>
                <w:szCs w:val="21"/>
                <w:lang w:val="zh-CN"/>
              </w:rPr>
              <w:t>海报创意思维的方法和技巧，以及各类海报设计形式的特点和工艺流程，</w:t>
            </w:r>
            <w:r>
              <w:rPr>
                <w:rFonts w:hint="eastAsia" w:ascii="宋体" w:hAnsi="宋体" w:eastAsia="宋体" w:cs="宋体"/>
                <w:color w:val="auto"/>
                <w:sz w:val="21"/>
                <w:szCs w:val="21"/>
                <w:lang w:val="en-US" w:eastAsia="zh-CN"/>
              </w:rPr>
              <w:t>从而</w:t>
            </w:r>
            <w:r>
              <w:rPr>
                <w:rFonts w:hint="eastAsia" w:ascii="宋体" w:hAnsi="宋体" w:eastAsia="宋体" w:cs="宋体"/>
                <w:color w:val="auto"/>
                <w:sz w:val="21"/>
                <w:szCs w:val="21"/>
                <w:lang w:val="zh-CN"/>
              </w:rPr>
              <w:t>完成一系列的海报设计与制作，增强创新的意识，</w:t>
            </w:r>
            <w:r>
              <w:rPr>
                <w:rFonts w:hint="eastAsia" w:ascii="宋体" w:hAnsi="宋体" w:eastAsia="宋体" w:cs="宋体"/>
                <w:color w:val="auto"/>
                <w:sz w:val="21"/>
                <w:szCs w:val="21"/>
                <w:lang w:val="en-US" w:eastAsia="zh-CN"/>
              </w:rPr>
              <w:t>能够</w:t>
            </w:r>
            <w:r>
              <w:rPr>
                <w:rFonts w:hint="eastAsia" w:ascii="宋体" w:hAnsi="宋体" w:eastAsia="宋体" w:cs="宋体"/>
                <w:color w:val="auto"/>
                <w:sz w:val="21"/>
                <w:szCs w:val="21"/>
                <w:lang w:val="zh-CN"/>
              </w:rPr>
              <w:t>在工作中爱岗敬业。</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包装设计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rPr>
              <w:t>课程的学习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学生掌握</w:t>
            </w:r>
            <w:r>
              <w:rPr>
                <w:rFonts w:hint="eastAsia" w:ascii="宋体" w:hAnsi="宋体" w:eastAsia="宋体" w:cs="宋体"/>
                <w:color w:val="000000"/>
                <w:kern w:val="0"/>
                <w:sz w:val="21"/>
                <w:szCs w:val="21"/>
                <w:lang w:bidi="ar"/>
              </w:rPr>
              <w:t>产品包装设计的理论和制作方法、流程</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不同包装的造型设计所涉及的概念和设计常用的表现手法</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能</w:t>
            </w:r>
            <w:r>
              <w:rPr>
                <w:rFonts w:hint="eastAsia" w:ascii="宋体" w:hAnsi="宋体" w:eastAsia="宋体" w:cs="宋体"/>
                <w:color w:val="000000"/>
                <w:kern w:val="0"/>
                <w:sz w:val="21"/>
                <w:szCs w:val="21"/>
                <w:lang w:bidi="ar"/>
              </w:rPr>
              <w:t>了解现代包装设计的社会功能和全球化包装发展趋势，具备初步的产品包装设计、策划与创新的能力，满足平面设计方向就业的需求。</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字体与标志</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rPr>
              <w:t>课程的学习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学生掌握</w:t>
            </w:r>
            <w:r>
              <w:rPr>
                <w:rFonts w:hint="eastAsia" w:ascii="宋体" w:hAnsi="宋体" w:eastAsia="宋体" w:cs="宋体"/>
                <w:color w:val="000000"/>
                <w:kern w:val="0"/>
                <w:sz w:val="21"/>
                <w:szCs w:val="21"/>
                <w:lang w:bidi="ar"/>
              </w:rPr>
              <w:t>字体设计、标志设计以及图形创意的综合应用</w:t>
            </w:r>
            <w:r>
              <w:rPr>
                <w:rFonts w:hint="eastAsia" w:ascii="宋体" w:hAnsi="宋体" w:eastAsia="宋体" w:cs="宋体"/>
                <w:color w:val="000000"/>
                <w:kern w:val="0"/>
                <w:sz w:val="21"/>
                <w:szCs w:val="21"/>
                <w:lang w:val="en-US" w:eastAsia="zh-CN" w:bidi="ar"/>
              </w:rPr>
              <w:t>方法，从而</w:t>
            </w:r>
            <w:r>
              <w:rPr>
                <w:rFonts w:hint="eastAsia" w:ascii="宋体" w:hAnsi="宋体" w:eastAsia="宋体" w:cs="宋体"/>
                <w:color w:val="000000"/>
                <w:kern w:val="0"/>
                <w:sz w:val="21"/>
                <w:szCs w:val="21"/>
                <w:lang w:bidi="ar"/>
              </w:rPr>
              <w:t>训练学生抽象性思维、概括性思维，</w:t>
            </w:r>
            <w:r>
              <w:rPr>
                <w:rFonts w:hint="eastAsia" w:ascii="宋体" w:hAnsi="宋体" w:eastAsia="宋体" w:cs="宋体"/>
                <w:color w:val="000000"/>
                <w:kern w:val="0"/>
                <w:sz w:val="21"/>
                <w:szCs w:val="21"/>
                <w:lang w:val="en-US" w:eastAsia="zh-CN" w:bidi="ar"/>
              </w:rPr>
              <w:t>能完成</w:t>
            </w:r>
            <w:r>
              <w:rPr>
                <w:rFonts w:hint="eastAsia" w:ascii="宋体" w:hAnsi="宋体" w:eastAsia="宋体" w:cs="宋体"/>
                <w:color w:val="000000"/>
                <w:kern w:val="0"/>
                <w:sz w:val="21"/>
                <w:szCs w:val="21"/>
                <w:lang w:bidi="ar"/>
              </w:rPr>
              <w:t>从创意构思到草图的设计、正稿的制作</w:t>
            </w:r>
            <w:r>
              <w:rPr>
                <w:rFonts w:hint="eastAsia" w:ascii="宋体" w:hAnsi="宋体" w:eastAsia="宋体" w:cs="宋体"/>
                <w:color w:val="000000"/>
                <w:kern w:val="0"/>
                <w:sz w:val="21"/>
                <w:szCs w:val="21"/>
                <w:lang w:val="en-US" w:eastAsia="zh-CN" w:bidi="ar"/>
              </w:rPr>
              <w:t>等</w:t>
            </w:r>
            <w:r>
              <w:rPr>
                <w:rFonts w:hint="eastAsia" w:ascii="宋体" w:hAnsi="宋体" w:eastAsia="宋体" w:cs="宋体"/>
                <w:color w:val="000000"/>
                <w:kern w:val="0"/>
                <w:sz w:val="21"/>
                <w:szCs w:val="21"/>
                <w:lang w:bidi="ar"/>
              </w:rPr>
              <w:t>主题项目的设计与制作。</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界面设计</w:t>
            </w:r>
          </w:p>
        </w:tc>
        <w:tc>
          <w:tcPr>
            <w:tcW w:w="6170" w:type="dxa"/>
            <w:vAlign w:val="center"/>
          </w:tcPr>
          <w:p>
            <w:pPr>
              <w:keepNext w:val="0"/>
              <w:keepLines w:val="0"/>
              <w:pageBreakBefore w:val="0"/>
              <w:widowControl/>
              <w:kinsoku/>
              <w:wordWrap/>
              <w:overflowPunct/>
              <w:topLinePunct w:val="0"/>
              <w:bidi w:val="0"/>
              <w:snapToGrid/>
              <w:spacing w:line="34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本课程为课证融通</w:t>
            </w:r>
            <w:r>
              <w:rPr>
                <w:rFonts w:hint="eastAsia" w:ascii="宋体" w:hAnsi="宋体" w:eastAsia="宋体" w:cs="宋体"/>
                <w:color w:val="auto"/>
                <w:sz w:val="21"/>
                <w:szCs w:val="21"/>
                <w:lang w:val="zh-CN"/>
              </w:rPr>
              <w:t>专业核心</w:t>
            </w:r>
            <w:r>
              <w:rPr>
                <w:rFonts w:hint="eastAsia" w:ascii="宋体" w:hAnsi="宋体" w:eastAsia="宋体" w:cs="宋体"/>
                <w:color w:val="auto"/>
                <w:sz w:val="21"/>
                <w:szCs w:val="21"/>
              </w:rPr>
              <w:t>课程，对接界面设计职业技能等级证书要求。</w:t>
            </w:r>
            <w:r>
              <w:rPr>
                <w:rFonts w:hint="eastAsia" w:ascii="宋体" w:hAnsi="宋体" w:eastAsia="宋体" w:cs="宋体"/>
                <w:color w:val="auto"/>
                <w:sz w:val="21"/>
                <w:szCs w:val="21"/>
                <w:lang w:val="zh-CN"/>
              </w:rPr>
              <w:t>通过课程的学习，学生掌握UI设计的流程和设计方法，并能制作有创意的、视觉冲击力的UI设计作品，使学生具备APP主题界面的设计能力和精细ICON图标的表现能力，</w:t>
            </w:r>
            <w:r>
              <w:rPr>
                <w:rFonts w:hint="eastAsia" w:ascii="宋体" w:hAnsi="宋体" w:eastAsia="宋体" w:cs="宋体"/>
                <w:color w:val="auto"/>
                <w:sz w:val="21"/>
                <w:szCs w:val="21"/>
                <w:lang w:val="en-US" w:eastAsia="zh-CN"/>
              </w:rPr>
              <w:t>具备</w:t>
            </w:r>
            <w:r>
              <w:rPr>
                <w:rFonts w:hint="eastAsia" w:ascii="宋体" w:hAnsi="宋体" w:eastAsia="宋体" w:cs="宋体"/>
                <w:color w:val="auto"/>
                <w:sz w:val="21"/>
                <w:szCs w:val="21"/>
                <w:lang w:val="zh-CN"/>
              </w:rPr>
              <w:t>系统规划和全局思维，能够完成一整套UI系统的设计，培养学生团队合作及独立思考能力。</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网页美工</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rPr>
              <w:t>课程的学习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学生能掌握</w:t>
            </w:r>
            <w:r>
              <w:rPr>
                <w:rFonts w:hint="eastAsia" w:ascii="宋体" w:hAnsi="宋体" w:eastAsia="宋体" w:cs="宋体"/>
                <w:color w:val="auto"/>
                <w:sz w:val="21"/>
                <w:szCs w:val="21"/>
                <w:lang w:val="en-US"/>
              </w:rPr>
              <w:t>相关的设计软件、网店装修的方法和技巧，</w:t>
            </w:r>
            <w:r>
              <w:rPr>
                <w:rFonts w:hint="eastAsia" w:ascii="宋体" w:hAnsi="宋体" w:eastAsia="宋体" w:cs="宋体"/>
                <w:color w:val="auto"/>
                <w:sz w:val="21"/>
                <w:szCs w:val="21"/>
              </w:rPr>
              <w:t>达到对光感、质感、色感、体积感、结构五大核心要素的成熟把握，从而提升产品修图的审美能力和出稿品质，并将其应用到页面设计之中。</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4.专业拓展课</w:t>
      </w:r>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文案设计与</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撰写</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sz w:val="21"/>
                <w:szCs w:val="21"/>
                <w:lang w:val="en-US" w:eastAsia="zh-CN"/>
              </w:rPr>
              <w:t>本</w:t>
            </w:r>
            <w:r>
              <w:rPr>
                <w:rFonts w:hint="eastAsia" w:ascii="宋体" w:hAnsi="宋体" w:eastAsia="宋体" w:cs="宋体"/>
                <w:sz w:val="21"/>
                <w:szCs w:val="21"/>
              </w:rPr>
              <w:t>课程属于专业</w:t>
            </w:r>
            <w:r>
              <w:rPr>
                <w:rFonts w:hint="eastAsia" w:ascii="宋体" w:hAnsi="宋体" w:eastAsia="宋体" w:cs="宋体"/>
                <w:color w:val="auto"/>
                <w:sz w:val="21"/>
                <w:szCs w:val="21"/>
                <w:lang w:val="en-US" w:eastAsia="zh-CN"/>
              </w:rPr>
              <w:t>群拓展课</w:t>
            </w:r>
            <w:r>
              <w:rPr>
                <w:rFonts w:hint="eastAsia" w:ascii="宋体" w:hAnsi="宋体" w:eastAsia="宋体" w:cs="宋体"/>
                <w:sz w:val="21"/>
                <w:szCs w:val="21"/>
              </w:rPr>
              <w:t>，</w:t>
            </w:r>
            <w:r>
              <w:rPr>
                <w:rFonts w:hint="eastAsia" w:ascii="宋体" w:hAnsi="宋体" w:eastAsia="宋体" w:cs="宋体"/>
                <w:sz w:val="21"/>
                <w:szCs w:val="21"/>
                <w:lang w:val="en-US" w:eastAsia="zh-CN"/>
              </w:rPr>
              <w:t>通过本课程的学习，学生掌握</w:t>
            </w:r>
            <w:r>
              <w:rPr>
                <w:rFonts w:hint="eastAsia" w:ascii="宋体" w:hAnsi="宋体" w:eastAsia="宋体" w:cs="宋体"/>
                <w:i w:val="0"/>
                <w:iCs w:val="0"/>
                <w:color w:val="auto"/>
                <w:kern w:val="0"/>
                <w:sz w:val="21"/>
                <w:szCs w:val="21"/>
                <w:u w:val="none"/>
                <w:lang w:val="en-US" w:eastAsia="zh-CN" w:bidi="ar"/>
              </w:rPr>
              <w:t>软文营销的基本概念、软文的类型、标题和正文的设计方法，软文的创意、写作技巧和方法，从而能够根据企业营销的策略，针对消费者在购物过程中的购买心理，结合产品特征撰写推广信息与宣传软文。</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营销策划与</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品牌推广</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snapToGrid w:val="0"/>
                <w:kern w:val="0"/>
                <w:sz w:val="21"/>
                <w:szCs w:val="21"/>
                <w:lang w:val="en-US" w:eastAsia="zh-CN" w:bidi="zh-CN"/>
              </w:rPr>
              <w:t>本课程属于专业群拓展课，通过本课程的学习，学生了解推销的基本理论和基本策略技巧，掌握人员推销和网络推销的基本程序流程、方法、技巧和策略，具有寻找潜在顾客和接近顾客的能力，能做好推销各环节的准备工作，形成实际推销能力，树立职业道德意识和学会立业创业的本领。</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沟通礼仪与</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技巧</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snapToGrid w:val="0"/>
                <w:kern w:val="0"/>
                <w:sz w:val="21"/>
                <w:szCs w:val="21"/>
                <w:lang w:val="en-US" w:eastAsia="zh-CN" w:bidi="zh-CN"/>
              </w:rPr>
              <w:t>本课程属于专业群拓展课，通过本课程的学习，</w:t>
            </w:r>
            <w:r>
              <w:rPr>
                <w:rFonts w:hint="eastAsia" w:ascii="宋体" w:hAnsi="宋体" w:cs="宋体"/>
                <w:snapToGrid w:val="0"/>
                <w:kern w:val="0"/>
                <w:sz w:val="21"/>
                <w:szCs w:val="21"/>
                <w:lang w:val="en-US" w:eastAsia="zh-CN" w:bidi="zh-CN"/>
              </w:rPr>
              <w:t>加深</w:t>
            </w:r>
            <w:r>
              <w:rPr>
                <w:rFonts w:hint="eastAsia" w:ascii="宋体" w:hAnsi="宋体" w:eastAsia="宋体" w:cs="宋体"/>
                <w:color w:val="auto"/>
                <w:sz w:val="21"/>
                <w:szCs w:val="21"/>
                <w:lang w:val="zh-CN"/>
              </w:rPr>
              <w:t>学生对沟通与礼仪的重要性的认识，了解沟通的基本技巧、方法，仪容、仪表、仪态礼仪、交际礼仪的方法和技巧，掌握沟通与礼仪的基本原理，熟练运用沟通与礼仪的知识、技巧和原理，提升人际交往的素养，</w:t>
            </w:r>
            <w:r>
              <w:rPr>
                <w:rFonts w:hint="eastAsia" w:ascii="宋体" w:hAnsi="宋体" w:eastAsia="宋体" w:cs="宋体"/>
                <w:color w:val="auto"/>
                <w:sz w:val="21"/>
                <w:szCs w:val="21"/>
                <w:lang w:val="en-US" w:eastAsia="zh-CN"/>
              </w:rPr>
              <w:t>从而</w:t>
            </w:r>
            <w:r>
              <w:rPr>
                <w:rFonts w:hint="eastAsia" w:ascii="宋体" w:hAnsi="宋体" w:eastAsia="宋体" w:cs="宋体"/>
                <w:color w:val="auto"/>
                <w:sz w:val="21"/>
                <w:szCs w:val="21"/>
                <w:lang w:val="zh-CN"/>
              </w:rPr>
              <w:t>全方位打造学生的沟通技能、交际技能、提升礼仪和素质，帮助大学生实现从“大学生”到“社会人”和“职业人”的转变。</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72</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bookmarkStart w:id="44" w:name="_Toc7412"/>
      <w:bookmarkStart w:id="45" w:name="_Toc4433"/>
      <w:bookmarkStart w:id="46" w:name="_Toc20923"/>
      <w:bookmarkStart w:id="47" w:name="_Toc6844"/>
      <w:r>
        <w:rPr>
          <w:rFonts w:hint="eastAsia" w:ascii="宋体" w:hAnsi="宋体" w:eastAsia="宋体" w:cs="宋体"/>
          <w:b/>
          <w:color w:val="auto"/>
          <w:kern w:val="2"/>
          <w:sz w:val="21"/>
          <w:szCs w:val="24"/>
          <w:lang w:val="en-US" w:eastAsia="zh-CN" w:bidi="ar-SA"/>
        </w:rPr>
        <w:t>5.实践课</w:t>
      </w:r>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widowControl/>
              <w:suppressLineNumbers w:val="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0"/>
                <w:szCs w:val="20"/>
                <w:u w:val="none"/>
                <w:lang w:val="en-US" w:eastAsia="zh-CN" w:bidi="ar"/>
              </w:rPr>
              <w:t>生产实习（职业体验）</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根据本</w:t>
            </w:r>
            <w:r>
              <w:rPr>
                <w:rFonts w:hint="default" w:ascii="宋体" w:hAnsi="宋体" w:eastAsia="宋体" w:cs="宋体"/>
                <w:color w:val="auto"/>
                <w:sz w:val="21"/>
                <w:szCs w:val="21"/>
                <w:lang w:val="en-US" w:eastAsia="zh-CN"/>
              </w:rPr>
              <w:t>专业特点设置实践环节</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学生</w:t>
            </w:r>
            <w:r>
              <w:rPr>
                <w:rFonts w:hint="eastAsia" w:ascii="宋体" w:hAnsi="宋体" w:eastAsia="宋体" w:cs="宋体"/>
                <w:color w:val="auto"/>
                <w:sz w:val="21"/>
                <w:szCs w:val="21"/>
                <w:lang w:val="en-US" w:eastAsia="zh-CN"/>
              </w:rPr>
              <w:t>能够</w:t>
            </w:r>
            <w:r>
              <w:rPr>
                <w:rFonts w:hint="default" w:ascii="宋体" w:hAnsi="宋体" w:eastAsia="宋体" w:cs="宋体"/>
                <w:color w:val="auto"/>
                <w:sz w:val="21"/>
                <w:szCs w:val="21"/>
                <w:lang w:val="en-US" w:eastAsia="zh-CN"/>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widowControl/>
              <w:suppressLineNumbers w:val="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0"/>
                <w:szCs w:val="20"/>
                <w:u w:val="none"/>
                <w:lang w:val="en-US" w:eastAsia="zh-CN" w:bidi="ar"/>
              </w:rPr>
              <w:t>顶岗实习</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default" w:ascii="宋体" w:hAnsi="宋体" w:eastAsia="宋体" w:cs="宋体"/>
                <w:color w:val="auto"/>
                <w:sz w:val="21"/>
                <w:szCs w:val="21"/>
                <w:lang w:val="en-US"/>
              </w:rPr>
            </w:pPr>
            <w:r>
              <w:rPr>
                <w:rFonts w:hint="eastAsia" w:ascii="宋体" w:hAnsi="宋体" w:eastAsia="宋体" w:cs="宋体"/>
                <w:sz w:val="21"/>
                <w:szCs w:val="21"/>
                <w:lang w:val="en-US" w:eastAsia="zh-CN"/>
              </w:rPr>
              <w:t>学生到企事业单位的现场，在本专业相关的实践岗位上，通过辅助、协作或独立实践等方式进入职业岗位。</w:t>
            </w:r>
          </w:p>
        </w:tc>
        <w:tc>
          <w:tcPr>
            <w:tcW w:w="1130"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540</w:t>
            </w:r>
          </w:p>
        </w:tc>
      </w:tr>
    </w:tbl>
    <w:p>
      <w:pPr>
        <w:keepNext/>
        <w:keepLines/>
        <w:pageBreakBefore w:val="0"/>
        <w:widowControl w:val="0"/>
        <w:numPr>
          <w:ilvl w:val="0"/>
          <w:numId w:val="2"/>
        </w:numPr>
        <w:kinsoku/>
        <w:wordWrap/>
        <w:overflowPunct/>
        <w:topLinePunct w:val="0"/>
        <w:autoSpaceDE/>
        <w:autoSpaceDN/>
        <w:bidi w:val="0"/>
        <w:adjustRightInd/>
        <w:snapToGrid/>
        <w:spacing w:before="95" w:beforeLines="30" w:beforeAutospacing="0" w:after="30" w:afterLines="30" w:afterAutospacing="0" w:line="460" w:lineRule="exact"/>
        <w:ind w:firstLine="602" w:firstLineChars="200"/>
        <w:jc w:val="both"/>
        <w:textAlignment w:val="auto"/>
        <w:outlineLvl w:val="0"/>
        <w:rPr>
          <w:rFonts w:hint="eastAsia" w:eastAsia="黑体" w:asciiTheme="minorAscii" w:hAnsiTheme="minorAscii" w:cstheme="minorBidi"/>
          <w:b/>
          <w:color w:val="auto"/>
          <w:kern w:val="44"/>
          <w:sz w:val="30"/>
          <w:szCs w:val="24"/>
          <w:lang w:val="en-US" w:eastAsia="zh-CN" w:bidi="ar-SA"/>
        </w:rPr>
      </w:pPr>
      <w:r>
        <w:rPr>
          <w:rFonts w:hint="eastAsia" w:eastAsia="黑体" w:asciiTheme="minorAscii" w:hAnsiTheme="minorAscii" w:cstheme="minorBidi"/>
          <w:b/>
          <w:color w:val="auto"/>
          <w:kern w:val="44"/>
          <w:sz w:val="30"/>
          <w:szCs w:val="24"/>
          <w:lang w:val="en-US" w:eastAsia="zh-CN" w:bidi="ar-SA"/>
        </w:rPr>
        <w:t>教学进程总体安排</w:t>
      </w:r>
      <w:bookmarkEnd w:id="44"/>
      <w:bookmarkEnd w:id="45"/>
      <w:bookmarkEnd w:id="46"/>
      <w:bookmarkEnd w:id="47"/>
    </w:p>
    <w:p>
      <w:pPr>
        <w:pStyle w:val="4"/>
        <w:numPr>
          <w:ilvl w:val="0"/>
          <w:numId w:val="5"/>
        </w:numPr>
        <w:bidi w:val="0"/>
        <w:rPr>
          <w:rFonts w:hint="eastAsia"/>
          <w:color w:val="auto"/>
          <w:lang w:val="en-US" w:eastAsia="zh-CN"/>
        </w:rPr>
      </w:pPr>
      <w:bookmarkStart w:id="48" w:name="_Toc20792"/>
      <w:bookmarkStart w:id="49" w:name="_Toc11763"/>
      <w:bookmarkStart w:id="50" w:name="_Toc17868"/>
      <w:bookmarkStart w:id="51" w:name="_Toc15224"/>
      <w:bookmarkStart w:id="52" w:name="_Toc30508"/>
      <w:r>
        <w:rPr>
          <w:rFonts w:hint="eastAsia"/>
          <w:color w:val="auto"/>
          <w:lang w:val="en-US" w:eastAsia="zh-CN"/>
        </w:rPr>
        <w:t>基本要求</w:t>
      </w:r>
      <w:bookmarkEnd w:id="48"/>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highlight w:val="none"/>
          <w:lang w:val="en-US" w:eastAsia="zh-CN"/>
        </w:rPr>
      </w:pPr>
      <w:bookmarkStart w:id="53" w:name="_Toc17619"/>
      <w:bookmarkStart w:id="54" w:name="_Toc26823"/>
      <w:bookmarkStart w:id="55" w:name="_Toc926"/>
      <w:r>
        <w:rPr>
          <w:rFonts w:hint="eastAsia" w:ascii="宋体" w:hAnsi="宋体" w:eastAsia="宋体" w:cs="宋体"/>
          <w:color w:val="auto"/>
          <w:sz w:val="24"/>
          <w:highlight w:val="none"/>
          <w:lang w:val="en-US" w:eastAsia="zh-CN"/>
        </w:rPr>
        <w:t>1.每学年为52周，其中教学时间40周（含复习考试），累计假期12周，周学时为28学时，岗位实习按每周30小时（1小时折合1学时）安排，3年总学时数为3000-3300学时。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2.一般18学时为1学分，3年制总学分不得少于170。军训、社会实践、入学教育、毕业教育等活动以1周为1学分，共5学分。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3.公共基础课学时约占总学时1/3，允许根据行业人才培养的实际需要在规定的范围内适当调整，但必须保证学生修完公共基础课的必修内容和学时。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4.专业课程学时一般占总学时的2/3，在确保学生实习总量的前提下，可根据实际需要集中或分阶段安排实习时间，行业企业职业认知应安排在第一学年。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5.课程设置中应设选修课，专业选修课程的学时数占总学时的比例应不少于10%。</w:t>
      </w:r>
    </w:p>
    <w:p>
      <w:pPr>
        <w:pStyle w:val="4"/>
        <w:numPr>
          <w:ilvl w:val="0"/>
          <w:numId w:val="5"/>
        </w:numPr>
        <w:bidi w:val="0"/>
        <w:rPr>
          <w:rFonts w:hint="eastAsia"/>
          <w:color w:val="auto"/>
          <w:lang w:val="en-US" w:eastAsia="zh-CN"/>
        </w:rPr>
      </w:pPr>
      <w:bookmarkStart w:id="56" w:name="_Toc19217"/>
      <w:r>
        <w:rPr>
          <w:rFonts w:hint="eastAsia"/>
          <w:color w:val="auto"/>
          <w:lang w:val="en-US" w:eastAsia="zh-CN"/>
        </w:rPr>
        <w:t>教学进度安排表</w:t>
      </w:r>
      <w:bookmarkEnd w:id="53"/>
      <w:bookmarkEnd w:id="54"/>
      <w:bookmarkEnd w:id="55"/>
      <w:bookmarkEnd w:id="56"/>
    </w:p>
    <w:tbl>
      <w:tblPr>
        <w:tblStyle w:val="19"/>
        <w:tblW w:w="10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751"/>
        <w:gridCol w:w="672"/>
        <w:gridCol w:w="2583"/>
        <w:gridCol w:w="824"/>
        <w:gridCol w:w="834"/>
        <w:gridCol w:w="714"/>
        <w:gridCol w:w="714"/>
        <w:gridCol w:w="714"/>
        <w:gridCol w:w="714"/>
        <w:gridCol w:w="714"/>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jc w:val="center"/>
        </w:trPr>
        <w:tc>
          <w:tcPr>
            <w:tcW w:w="11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类别</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课程名称</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学分</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总学时</w:t>
            </w:r>
          </w:p>
        </w:tc>
        <w:tc>
          <w:tcPr>
            <w:tcW w:w="42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学期周数与周学时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五</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18周</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公共</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基础课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军训及入学教育</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Style w:val="25"/>
                <w:rFonts w:hint="eastAsia" w:ascii="宋体" w:hAnsi="宋体" w:eastAsia="宋体" w:cs="宋体"/>
                <w:sz w:val="21"/>
                <w:szCs w:val="21"/>
                <w:lang w:val="en-US" w:eastAsia="zh-CN" w:bidi="ar"/>
              </w:rPr>
              <w:t>1</w:t>
            </w:r>
            <w:r>
              <w:rPr>
                <w:rStyle w:val="26"/>
                <w:rFonts w:hint="eastAsia" w:ascii="宋体" w:hAnsi="宋体" w:eastAsia="宋体" w:cs="宋体"/>
                <w:sz w:val="21"/>
                <w:szCs w:val="21"/>
                <w:lang w:val="en-US" w:eastAsia="zh-CN" w:bidi="ar"/>
              </w:rPr>
              <w:t>周</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劳动与行为习惯养成教育</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习近平新时代读本</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中国特色社会主义</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心理健康与职业生涯</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哲学与人生</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职业道德与法治</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信息技术</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历史</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公共艺术（音乐）</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公共艺术（美术）</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体育与健康</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语文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数学</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kern w:val="0"/>
                <w:sz w:val="21"/>
                <w:szCs w:val="21"/>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英语</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583"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40.7%</w:t>
            </w:r>
          </w:p>
        </w:tc>
        <w:tc>
          <w:tcPr>
            <w:tcW w:w="82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70</w:t>
            </w:r>
          </w:p>
        </w:tc>
        <w:tc>
          <w:tcPr>
            <w:tcW w:w="83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1272</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公共</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选修课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（二选一）</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中华传统文化</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物理（拓展模块）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小计</w:t>
            </w:r>
          </w:p>
        </w:tc>
        <w:tc>
          <w:tcPr>
            <w:tcW w:w="2583"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0.6%</w:t>
            </w:r>
          </w:p>
        </w:tc>
        <w:tc>
          <w:tcPr>
            <w:tcW w:w="82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专业课程</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专业群平台课</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美术基础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艺术鉴赏</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图形图像基础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影像技术基础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小计</w:t>
            </w:r>
          </w:p>
        </w:tc>
        <w:tc>
          <w:tcPr>
            <w:tcW w:w="2583"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6.9%</w:t>
            </w:r>
          </w:p>
        </w:tc>
        <w:tc>
          <w:tcPr>
            <w:tcW w:w="82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83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216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专业基础课程</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构成基础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设计美术基础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小计</w:t>
            </w:r>
          </w:p>
        </w:tc>
        <w:tc>
          <w:tcPr>
            <w:tcW w:w="2583"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w:t>
            </w:r>
          </w:p>
        </w:tc>
        <w:tc>
          <w:tcPr>
            <w:tcW w:w="82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83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126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专业核心课程</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图形图像处理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影像与后期制作</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版式与广告设计</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包装设计</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字体与标志设计</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界面设计</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网页美工</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小计</w:t>
            </w:r>
          </w:p>
        </w:tc>
        <w:tc>
          <w:tcPr>
            <w:tcW w:w="2583"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20.2%</w:t>
            </w:r>
          </w:p>
        </w:tc>
        <w:tc>
          <w:tcPr>
            <w:tcW w:w="82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35</w:t>
            </w:r>
          </w:p>
        </w:tc>
        <w:tc>
          <w:tcPr>
            <w:tcW w:w="83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630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15</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专业拓展课程</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文案设计与撰写</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营销策划与品牌推广</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沟通礼仪与技巧</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小计</w:t>
            </w:r>
          </w:p>
        </w:tc>
        <w:tc>
          <w:tcPr>
            <w:tcW w:w="2583"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9.2%</w:t>
            </w:r>
          </w:p>
        </w:tc>
        <w:tc>
          <w:tcPr>
            <w:tcW w:w="82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83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288</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1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实践课</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生产实习（职业体验）</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顶岗实习</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1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auto"/>
                <w:sz w:val="21"/>
                <w:szCs w:val="2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小计</w:t>
            </w:r>
          </w:p>
        </w:tc>
        <w:tc>
          <w:tcPr>
            <w:tcW w:w="2583"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18.4%</w:t>
            </w:r>
          </w:p>
        </w:tc>
        <w:tc>
          <w:tcPr>
            <w:tcW w:w="82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32</w:t>
            </w:r>
          </w:p>
        </w:tc>
        <w:tc>
          <w:tcPr>
            <w:tcW w:w="83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576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5"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44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173</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3126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32</w:t>
            </w:r>
          </w:p>
        </w:tc>
      </w:tr>
    </w:tbl>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highlight w:val="none"/>
          <w:lang w:val="en-US" w:eastAsia="zh-CN" w:bidi="ar-SA"/>
        </w:rPr>
      </w:pPr>
      <w:bookmarkStart w:id="57" w:name="_Toc21929"/>
      <w:bookmarkStart w:id="58" w:name="_Toc27593"/>
      <w:bookmarkStart w:id="59" w:name="_Toc11852"/>
      <w:bookmarkStart w:id="60" w:name="_Toc29208"/>
      <w:bookmarkStart w:id="61" w:name="_Toc2901"/>
      <w:r>
        <w:rPr>
          <w:rFonts w:hint="eastAsia" w:eastAsia="黑体" w:asciiTheme="minorAscii" w:hAnsiTheme="minorAscii" w:cstheme="minorBidi"/>
          <w:b/>
          <w:color w:val="auto"/>
          <w:kern w:val="44"/>
          <w:sz w:val="30"/>
          <w:szCs w:val="24"/>
          <w:highlight w:val="none"/>
          <w:lang w:val="en-US" w:eastAsia="zh-CN" w:bidi="ar-SA"/>
        </w:rPr>
        <w:t>实施保障</w:t>
      </w:r>
      <w:bookmarkEnd w:id="57"/>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计算机平面设计专业人才培养方案实施保障主要包括师资队伍、教学设施、教学资源、教学实施、学习评价、质量管理等方面。</w:t>
      </w:r>
    </w:p>
    <w:p>
      <w:pPr>
        <w:pStyle w:val="4"/>
        <w:bidi w:val="0"/>
        <w:rPr>
          <w:color w:val="auto"/>
        </w:rPr>
      </w:pPr>
      <w:bookmarkStart w:id="62" w:name="_Toc3958"/>
      <w:bookmarkStart w:id="63" w:name="_Toc15586"/>
      <w:bookmarkStart w:id="64" w:name="_Toc24146"/>
      <w:bookmarkStart w:id="65" w:name="_Toc10508"/>
      <w:bookmarkStart w:id="66" w:name="_Toc24804"/>
      <w:r>
        <w:rPr>
          <w:rFonts w:hint="eastAsia"/>
          <w:color w:val="auto"/>
        </w:rPr>
        <w:t>（一）师资队伍</w:t>
      </w:r>
      <w:bookmarkEnd w:id="62"/>
      <w:bookmarkEnd w:id="63"/>
      <w:bookmarkEnd w:id="64"/>
      <w:bookmarkEnd w:id="65"/>
      <w:bookmarkEnd w:id="66"/>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1.教学团队总体要求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2.专任教师要求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auto"/>
          <w:kern w:val="2"/>
          <w:sz w:val="24"/>
          <w:szCs w:val="28"/>
          <w:highlight w:val="none"/>
          <w:lang w:val="en-US" w:eastAsia="zh-CN" w:bidi="ar-SA"/>
        </w:rPr>
      </w:pPr>
      <w:r>
        <w:rPr>
          <w:rFonts w:hint="eastAsia" w:ascii="宋体" w:hAnsi="宋体" w:eastAsia="宋体" w:cs="宋体"/>
          <w:b w:val="0"/>
          <w:color w:val="auto"/>
          <w:kern w:val="2"/>
          <w:sz w:val="24"/>
          <w:szCs w:val="28"/>
          <w:highlight w:val="none"/>
          <w:lang w:val="en-US" w:eastAsia="zh-CN" w:bidi="ar-SA"/>
        </w:rPr>
        <w:t>计算机平面设计专业专任教师要求具有高中阶段学校及以上教师资格证书；具有视觉传达设计、广告艺术设计、包装策划与设计、数字媒体技术、影视摄影与制作等相关专业学历；具有本专业理论和实践能力；能够落实课程思政要求，挖掘专业课程中的思政教育元素和资源；能够调配、规划实验实训设备，完善符合现代教学方式的教学场所；能够跟踪新经济、新技术发展前沿，开展社会服务；专业教师每年至少1个月在企业或实训基地实训，每5年累计不少于6个月的企业实践经历。</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3.兼职教师要求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auto"/>
          <w:kern w:val="2"/>
          <w:sz w:val="24"/>
          <w:szCs w:val="28"/>
          <w:highlight w:val="none"/>
          <w:lang w:val="en-US" w:eastAsia="zh-CN" w:bidi="ar-SA"/>
        </w:rPr>
      </w:pPr>
      <w:bookmarkStart w:id="67" w:name="_Toc17999"/>
      <w:bookmarkStart w:id="68" w:name="_Toc20070"/>
      <w:bookmarkStart w:id="69" w:name="_Toc20635"/>
      <w:bookmarkStart w:id="70" w:name="_Toc21276"/>
      <w:r>
        <w:rPr>
          <w:rFonts w:hint="eastAsia" w:ascii="宋体" w:hAnsi="宋体" w:eastAsia="宋体" w:cs="宋体"/>
          <w:b w:val="0"/>
          <w:color w:val="auto"/>
          <w:kern w:val="2"/>
          <w:sz w:val="24"/>
          <w:szCs w:val="28"/>
          <w:highlight w:val="none"/>
          <w:lang w:val="en-US" w:eastAsia="zh-CN" w:bidi="ar-SA"/>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p>
    <w:p>
      <w:pPr>
        <w:pStyle w:val="4"/>
        <w:bidi w:val="0"/>
        <w:rPr>
          <w:rFonts w:hint="eastAsia"/>
          <w:color w:val="auto"/>
        </w:rPr>
      </w:pPr>
      <w:bookmarkStart w:id="71" w:name="_Toc26014"/>
      <w:r>
        <w:rPr>
          <w:rFonts w:hint="eastAsia"/>
          <w:color w:val="auto"/>
        </w:rPr>
        <w:t>（二）教学设施</w:t>
      </w:r>
      <w:bookmarkEnd w:id="67"/>
      <w:bookmarkEnd w:id="68"/>
      <w:bookmarkEnd w:id="69"/>
      <w:bookmarkEnd w:id="70"/>
      <w:bookmarkEnd w:id="71"/>
    </w:p>
    <w:p>
      <w:pPr>
        <w:pageBreakBefore w:val="0"/>
        <w:numPr>
          <w:ilvl w:val="0"/>
          <w:numId w:val="0"/>
        </w:numPr>
        <w:kinsoku/>
        <w:wordWrap/>
        <w:overflowPunct/>
        <w:topLinePunct w:val="0"/>
        <w:autoSpaceDE/>
        <w:autoSpaceDN/>
        <w:bidi w:val="0"/>
        <w:spacing w:line="440" w:lineRule="exact"/>
        <w:ind w:leftChars="200"/>
        <w:textAlignment w:val="auto"/>
        <w:outlineLvl w:val="2"/>
        <w:rPr>
          <w:rFonts w:hint="eastAsia" w:ascii="宋体" w:hAnsi="宋体" w:eastAsia="宋体" w:cs="宋体"/>
          <w:b/>
          <w:color w:val="auto"/>
          <w:sz w:val="24"/>
          <w:szCs w:val="24"/>
          <w:lang w:val="en-US" w:eastAsia="zh-CN" w:bidi="ar"/>
        </w:rPr>
      </w:pPr>
      <w:bookmarkStart w:id="72" w:name="_Toc30118"/>
      <w:r>
        <w:rPr>
          <w:rFonts w:hint="eastAsia" w:ascii="宋体" w:hAnsi="宋体" w:eastAsia="宋体" w:cs="宋体"/>
          <w:b/>
          <w:color w:val="auto"/>
          <w:sz w:val="24"/>
          <w:szCs w:val="24"/>
          <w:lang w:val="en-US" w:eastAsia="zh-CN" w:bidi="ar"/>
        </w:rPr>
        <w:t>1.专业教室</w:t>
      </w:r>
      <w:bookmarkEnd w:id="72"/>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auto"/>
          <w:kern w:val="2"/>
          <w:sz w:val="24"/>
          <w:szCs w:val="28"/>
          <w:highlight w:val="none"/>
          <w:lang w:val="en-US" w:eastAsia="zh-CN" w:bidi="ar-SA"/>
        </w:rPr>
      </w:pPr>
      <w:bookmarkStart w:id="73" w:name="_Hlk83220190"/>
      <w:r>
        <w:rPr>
          <w:rFonts w:hint="eastAsia" w:ascii="宋体" w:hAnsi="宋体" w:eastAsia="宋体" w:cs="宋体"/>
          <w:b w:val="0"/>
          <w:color w:val="auto"/>
          <w:kern w:val="2"/>
          <w:sz w:val="24"/>
          <w:szCs w:val="28"/>
          <w:highlight w:val="none"/>
          <w:lang w:val="en-US" w:eastAsia="zh-CN" w:bidi="ar-SA"/>
        </w:rPr>
        <w:t>具备利用信息化手段开展混合式教学的条件。</w:t>
      </w:r>
      <w:bookmarkEnd w:id="73"/>
      <w:r>
        <w:rPr>
          <w:rFonts w:hint="eastAsia" w:ascii="宋体" w:hAnsi="宋体" w:eastAsia="宋体" w:cs="宋体"/>
          <w:b w:val="0"/>
          <w:color w:val="auto"/>
          <w:kern w:val="2"/>
          <w:sz w:val="24"/>
          <w:szCs w:val="28"/>
          <w:highlight w:val="none"/>
          <w:lang w:val="en-US" w:eastAsia="zh-CN" w:bidi="ar-SA"/>
        </w:rPr>
        <w:t>一般配备黑（白）板、多媒体计算机、投影设备、音响设备，互联网接入或无线网络环境，并具有网络安全防护措施。安装应急照明装置并保持良好状态，符合紧急疏散要求、标志明显、保持逃生通道畅通无阻。</w:t>
      </w:r>
    </w:p>
    <w:p>
      <w:pPr>
        <w:pageBreakBefore w:val="0"/>
        <w:numPr>
          <w:ilvl w:val="0"/>
          <w:numId w:val="0"/>
        </w:numPr>
        <w:kinsoku/>
        <w:wordWrap/>
        <w:overflowPunct/>
        <w:topLinePunct w:val="0"/>
        <w:autoSpaceDE/>
        <w:autoSpaceDN/>
        <w:bidi w:val="0"/>
        <w:spacing w:line="440" w:lineRule="exact"/>
        <w:ind w:leftChars="200"/>
        <w:textAlignment w:val="auto"/>
        <w:outlineLvl w:val="2"/>
        <w:rPr>
          <w:rFonts w:hint="eastAsia" w:ascii="宋体" w:hAnsi="宋体" w:eastAsia="宋体" w:cs="宋体"/>
          <w:b/>
          <w:color w:val="auto"/>
          <w:sz w:val="24"/>
          <w:szCs w:val="24"/>
          <w:lang w:val="en-US" w:eastAsia="zh-CN" w:bidi="ar"/>
        </w:rPr>
      </w:pPr>
      <w:bookmarkStart w:id="74" w:name="_Toc11904"/>
      <w:r>
        <w:rPr>
          <w:rFonts w:hint="eastAsia" w:ascii="宋体" w:hAnsi="宋体" w:eastAsia="宋体" w:cs="宋体"/>
          <w:b/>
          <w:color w:val="auto"/>
          <w:sz w:val="24"/>
          <w:szCs w:val="24"/>
          <w:lang w:val="en-US" w:eastAsia="zh-CN" w:bidi="ar"/>
        </w:rPr>
        <w:t>2.校内实训</w:t>
      </w:r>
      <w:bookmarkEnd w:id="74"/>
      <w:r>
        <w:rPr>
          <w:rFonts w:hint="eastAsia" w:ascii="宋体" w:hAnsi="宋体" w:eastAsia="宋体" w:cs="宋体"/>
          <w:b/>
          <w:color w:val="auto"/>
          <w:sz w:val="24"/>
          <w:szCs w:val="24"/>
          <w:lang w:val="en-US" w:eastAsia="zh-CN" w:bidi="ar"/>
        </w:rPr>
        <w:t>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bookmarkStart w:id="75" w:name="_Toc32182"/>
      <w:bookmarkStart w:id="76" w:name="_Toc14110"/>
      <w:r>
        <w:rPr>
          <w:rFonts w:hint="eastAsia" w:ascii="宋体" w:hAnsi="宋体" w:eastAsia="宋体" w:cs="宋体"/>
          <w:color w:val="auto"/>
          <w:sz w:val="24"/>
          <w:lang w:val="en-US" w:eastAsia="zh-CN"/>
        </w:rPr>
        <w:t>除本专业群共享实训室外，本专业校内实习必须具备的实训室与设备设施和主要工具，名称及数量见下表。</w:t>
      </w:r>
    </w:p>
    <w:tbl>
      <w:tblPr>
        <w:tblStyle w:val="19"/>
        <w:tblW w:w="7786" w:type="dxa"/>
        <w:jc w:val="center"/>
        <w:tblLayout w:type="autofit"/>
        <w:tblCellMar>
          <w:top w:w="0" w:type="dxa"/>
          <w:left w:w="108" w:type="dxa"/>
          <w:bottom w:w="0" w:type="dxa"/>
          <w:right w:w="108" w:type="dxa"/>
        </w:tblCellMar>
      </w:tblPr>
      <w:tblGrid>
        <w:gridCol w:w="760"/>
        <w:gridCol w:w="1635"/>
        <w:gridCol w:w="3080"/>
        <w:gridCol w:w="2311"/>
      </w:tblGrid>
      <w:tr>
        <w:tblPrEx>
          <w:tblCellMar>
            <w:top w:w="0" w:type="dxa"/>
            <w:left w:w="108" w:type="dxa"/>
            <w:bottom w:w="0" w:type="dxa"/>
            <w:right w:w="108" w:type="dxa"/>
          </w:tblCellMar>
        </w:tblPrEx>
        <w:trPr>
          <w:trHeight w:val="454" w:hRule="atLeast"/>
          <w:tblHeader/>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635" w:type="dxa"/>
            <w:tcBorders>
              <w:top w:val="single" w:color="auto" w:sz="4" w:space="0"/>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实训室名称</w:t>
            </w:r>
          </w:p>
        </w:tc>
        <w:tc>
          <w:tcPr>
            <w:tcW w:w="3080" w:type="dxa"/>
            <w:tcBorders>
              <w:top w:val="single" w:color="auto" w:sz="4" w:space="0"/>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设备设施（工具）名称</w:t>
            </w:r>
          </w:p>
        </w:tc>
        <w:tc>
          <w:tcPr>
            <w:tcW w:w="2311" w:type="dxa"/>
            <w:tcBorders>
              <w:top w:val="single" w:color="auto" w:sz="4" w:space="0"/>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数量（台/套）</w:t>
            </w:r>
          </w:p>
        </w:tc>
      </w:tr>
      <w:tr>
        <w:tblPrEx>
          <w:tblCellMar>
            <w:top w:w="0" w:type="dxa"/>
            <w:left w:w="108" w:type="dxa"/>
            <w:bottom w:w="0" w:type="dxa"/>
            <w:right w:w="108" w:type="dxa"/>
          </w:tblCellMar>
        </w:tblPrEx>
        <w:trPr>
          <w:trHeight w:val="454" w:hRule="atLeast"/>
          <w:jc w:val="center"/>
        </w:trPr>
        <w:tc>
          <w:tcPr>
            <w:tcW w:w="76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35" w:type="dxa"/>
            <w:vMerge w:val="restart"/>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平面广告设计实训室5间</w:t>
            </w: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学生用计算机</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教师用计算机</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设计类工具软件</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6套</w:t>
            </w:r>
          </w:p>
        </w:tc>
      </w:tr>
      <w:tr>
        <w:tblPrEx>
          <w:tblCellMar>
            <w:top w:w="0" w:type="dxa"/>
            <w:left w:w="108" w:type="dxa"/>
            <w:bottom w:w="0" w:type="dxa"/>
            <w:right w:w="108" w:type="dxa"/>
          </w:tblCellMar>
        </w:tblPrEx>
        <w:trPr>
          <w:trHeight w:val="454" w:hRule="atLeast"/>
          <w:jc w:val="center"/>
        </w:trPr>
        <w:tc>
          <w:tcPr>
            <w:tcW w:w="76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635" w:type="dxa"/>
            <w:vMerge w:val="restart"/>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商业摄影实训室1间</w:t>
            </w: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数码相机、数码摄像机</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灯光、背景布、静物台</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数码照片洗印设备</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彩色喷墨打印机</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教学平台</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1套</w:t>
            </w:r>
          </w:p>
        </w:tc>
      </w:tr>
      <w:tr>
        <w:tblPrEx>
          <w:tblCellMar>
            <w:top w:w="0" w:type="dxa"/>
            <w:left w:w="108" w:type="dxa"/>
            <w:bottom w:w="0" w:type="dxa"/>
            <w:right w:w="108" w:type="dxa"/>
          </w:tblCellMar>
        </w:tblPrEx>
        <w:trPr>
          <w:trHeight w:val="454" w:hRule="atLeast"/>
          <w:jc w:val="center"/>
        </w:trPr>
        <w:tc>
          <w:tcPr>
            <w:tcW w:w="76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635" w:type="dxa"/>
            <w:vMerge w:val="restart"/>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印务车间1间</w:t>
            </w: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平板烫印机</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大幅面打印机</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彩色喷墨打印机</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过塑机</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CellMar>
            <w:top w:w="0" w:type="dxa"/>
            <w:left w:w="108" w:type="dxa"/>
            <w:bottom w:w="0" w:type="dxa"/>
            <w:right w:w="108" w:type="dxa"/>
          </w:tblCellMar>
        </w:tblPrEx>
        <w:trPr>
          <w:trHeight w:val="454" w:hRule="atLeast"/>
          <w:jc w:val="center"/>
        </w:trPr>
        <w:tc>
          <w:tcPr>
            <w:tcW w:w="760"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635" w:type="dxa"/>
            <w:vMerge w:val="restart"/>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画室3间</w:t>
            </w: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画架</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画板</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石膏像组</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r>
      <w:tr>
        <w:tblPrEx>
          <w:tblCellMar>
            <w:top w:w="0" w:type="dxa"/>
            <w:left w:w="108" w:type="dxa"/>
            <w:bottom w:w="0" w:type="dxa"/>
            <w:right w:w="108" w:type="dxa"/>
          </w:tblCellMar>
        </w:tblPrEx>
        <w:trPr>
          <w:trHeight w:val="454" w:hRule="atLeast"/>
          <w:jc w:val="center"/>
        </w:trPr>
        <w:tc>
          <w:tcPr>
            <w:tcW w:w="760" w:type="dxa"/>
            <w:vMerge w:val="continue"/>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1635" w:type="dxa"/>
            <w:vMerge w:val="continue"/>
            <w:tcBorders>
              <w:top w:val="nil"/>
              <w:left w:val="single" w:color="auto" w:sz="4" w:space="0"/>
              <w:bottom w:val="single" w:color="000000" w:sz="4" w:space="0"/>
              <w:right w:val="single" w:color="auto" w:sz="4" w:space="0"/>
            </w:tcBorders>
            <w:noWrap w:val="0"/>
            <w:vAlign w:val="center"/>
          </w:tcPr>
          <w:p>
            <w:pPr>
              <w:widowControl/>
              <w:snapToGrid w:val="0"/>
              <w:spacing w:line="240" w:lineRule="auto"/>
              <w:ind w:firstLine="0" w:firstLineChars="0"/>
              <w:jc w:val="left"/>
              <w:rPr>
                <w:rFonts w:hint="eastAsia" w:ascii="宋体" w:hAnsi="宋体" w:eastAsia="宋体" w:cs="宋体"/>
                <w:kern w:val="0"/>
                <w:sz w:val="21"/>
                <w:szCs w:val="21"/>
              </w:rPr>
            </w:pPr>
          </w:p>
        </w:tc>
        <w:tc>
          <w:tcPr>
            <w:tcW w:w="3080"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美术灯</w:t>
            </w:r>
          </w:p>
        </w:tc>
        <w:tc>
          <w:tcPr>
            <w:tcW w:w="2311"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r>
    </w:tbl>
    <w:p>
      <w:pPr>
        <w:pageBreakBefore w:val="0"/>
        <w:numPr>
          <w:ilvl w:val="0"/>
          <w:numId w:val="0"/>
        </w:numPr>
        <w:kinsoku/>
        <w:wordWrap/>
        <w:overflowPunct/>
        <w:topLinePunct w:val="0"/>
        <w:autoSpaceDE/>
        <w:autoSpaceDN/>
        <w:bidi w:val="0"/>
        <w:spacing w:line="440" w:lineRule="exact"/>
        <w:ind w:leftChars="200"/>
        <w:textAlignment w:val="auto"/>
        <w:outlineLvl w:val="2"/>
        <w:rPr>
          <w:rFonts w:hint="eastAsia" w:ascii="宋体" w:hAnsi="宋体" w:eastAsia="宋体" w:cs="宋体"/>
          <w:b/>
          <w:color w:val="auto"/>
          <w:sz w:val="24"/>
          <w:szCs w:val="24"/>
          <w:lang w:val="en-US" w:eastAsia="zh-CN" w:bidi="ar"/>
        </w:rPr>
      </w:pPr>
      <w:r>
        <w:rPr>
          <w:rFonts w:hint="eastAsia" w:ascii="宋体" w:hAnsi="宋体" w:eastAsia="宋体" w:cs="宋体"/>
          <w:b/>
          <w:color w:val="auto"/>
          <w:sz w:val="24"/>
          <w:szCs w:val="24"/>
          <w:lang w:val="en-US" w:eastAsia="zh-CN" w:bidi="ar"/>
        </w:rPr>
        <w:t>3.校外实习基地</w:t>
      </w:r>
      <w:bookmarkEnd w:id="75"/>
      <w:bookmarkEnd w:id="76"/>
      <w:bookmarkStart w:id="77" w:name="_Toc24140"/>
      <w:bookmarkStart w:id="78" w:name="_Toc9206"/>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业按照《职业学校学生实习管理规定》《职业学校校企合作促进办法》等对实习单位的有关要求，经实地考察后，遴选和确定合法经营、管理规范，实习条件完备且符合产业发展实际、符合安全生产法律法规要求的行业企业作为校外实训和就业基地</w:t>
      </w:r>
      <w:bookmarkEnd w:id="77"/>
      <w:bookmarkEnd w:id="78"/>
      <w:r>
        <w:rPr>
          <w:rFonts w:hint="eastAsia" w:ascii="宋体" w:hAnsi="宋体" w:eastAsia="宋体" w:cs="宋体"/>
          <w:color w:val="auto"/>
          <w:sz w:val="24"/>
          <w:lang w:val="en-US" w:eastAsia="zh-CN"/>
        </w:rPr>
        <w:t>，本专业校企合作单位列表如下。</w:t>
      </w:r>
    </w:p>
    <w:tbl>
      <w:tblPr>
        <w:tblStyle w:val="19"/>
        <w:tblW w:w="7793" w:type="dxa"/>
        <w:jc w:val="center"/>
        <w:tblLayout w:type="autofit"/>
        <w:tblCellMar>
          <w:top w:w="0" w:type="dxa"/>
          <w:left w:w="108" w:type="dxa"/>
          <w:bottom w:w="0" w:type="dxa"/>
          <w:right w:w="108" w:type="dxa"/>
        </w:tblCellMar>
      </w:tblPr>
      <w:tblGrid>
        <w:gridCol w:w="743"/>
        <w:gridCol w:w="3275"/>
        <w:gridCol w:w="3775"/>
      </w:tblGrid>
      <w:tr>
        <w:tblPrEx>
          <w:tblCellMar>
            <w:top w:w="0" w:type="dxa"/>
            <w:left w:w="108" w:type="dxa"/>
            <w:bottom w:w="0" w:type="dxa"/>
            <w:right w:w="108" w:type="dxa"/>
          </w:tblCellMar>
        </w:tblPrEx>
        <w:trPr>
          <w:trHeight w:val="454" w:hRule="atLeast"/>
          <w:tblHeader/>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3275" w:type="dxa"/>
            <w:tcBorders>
              <w:top w:val="single" w:color="auto" w:sz="4" w:space="0"/>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b/>
                <w:bCs/>
                <w:kern w:val="0"/>
                <w:sz w:val="21"/>
                <w:szCs w:val="21"/>
              </w:rPr>
            </w:pPr>
            <w:r>
              <w:rPr>
                <w:rFonts w:hint="eastAsia" w:ascii="宋体" w:hAnsi="宋体" w:eastAsia="宋体" w:cs="宋体"/>
                <w:b/>
                <w:bCs/>
                <w:sz w:val="21"/>
                <w:szCs w:val="21"/>
              </w:rPr>
              <w:t>校外实训基地所在企业名称</w:t>
            </w:r>
          </w:p>
        </w:tc>
        <w:tc>
          <w:tcPr>
            <w:tcW w:w="3775" w:type="dxa"/>
            <w:tcBorders>
              <w:top w:val="single" w:color="auto" w:sz="4" w:space="0"/>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地址</w:t>
            </w:r>
          </w:p>
        </w:tc>
      </w:tr>
      <w:tr>
        <w:tblPrEx>
          <w:tblCellMar>
            <w:top w:w="0" w:type="dxa"/>
            <w:left w:w="108" w:type="dxa"/>
            <w:bottom w:w="0" w:type="dxa"/>
            <w:right w:w="108" w:type="dxa"/>
          </w:tblCellMar>
        </w:tblPrEx>
        <w:trPr>
          <w:trHeight w:val="454" w:hRule="atLeast"/>
          <w:jc w:val="center"/>
        </w:trPr>
        <w:tc>
          <w:tcPr>
            <w:tcW w:w="743" w:type="dxa"/>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2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东点设计装饰工程有限公司</w:t>
            </w:r>
          </w:p>
        </w:tc>
        <w:tc>
          <w:tcPr>
            <w:tcW w:w="37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阳江新江北路嘉华财智大厦706室</w:t>
            </w:r>
          </w:p>
        </w:tc>
      </w:tr>
      <w:tr>
        <w:tblPrEx>
          <w:tblCellMar>
            <w:top w:w="0" w:type="dxa"/>
            <w:left w:w="108" w:type="dxa"/>
            <w:bottom w:w="0" w:type="dxa"/>
            <w:right w:w="108" w:type="dxa"/>
          </w:tblCellMar>
        </w:tblPrEx>
        <w:trPr>
          <w:trHeight w:val="454" w:hRule="atLeast"/>
          <w:jc w:val="center"/>
        </w:trPr>
        <w:tc>
          <w:tcPr>
            <w:tcW w:w="743" w:type="dxa"/>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2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阳江柯尼广告服务部</w:t>
            </w:r>
          </w:p>
        </w:tc>
        <w:tc>
          <w:tcPr>
            <w:tcW w:w="37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阳江市三环路赤岗东路62号</w:t>
            </w:r>
          </w:p>
        </w:tc>
      </w:tr>
      <w:tr>
        <w:tblPrEx>
          <w:tblCellMar>
            <w:top w:w="0" w:type="dxa"/>
            <w:left w:w="108" w:type="dxa"/>
            <w:bottom w:w="0" w:type="dxa"/>
            <w:right w:w="108" w:type="dxa"/>
          </w:tblCellMar>
        </w:tblPrEx>
        <w:trPr>
          <w:trHeight w:val="454" w:hRule="atLeast"/>
          <w:jc w:val="center"/>
        </w:trPr>
        <w:tc>
          <w:tcPr>
            <w:tcW w:w="743" w:type="dxa"/>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2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阳江市大地设计工程有限公司</w:t>
            </w:r>
          </w:p>
        </w:tc>
        <w:tc>
          <w:tcPr>
            <w:tcW w:w="37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阳江市宁正路129号</w:t>
            </w:r>
          </w:p>
        </w:tc>
      </w:tr>
      <w:tr>
        <w:tblPrEx>
          <w:tblCellMar>
            <w:top w:w="0" w:type="dxa"/>
            <w:left w:w="108" w:type="dxa"/>
            <w:bottom w:w="0" w:type="dxa"/>
            <w:right w:w="108" w:type="dxa"/>
          </w:tblCellMar>
        </w:tblPrEx>
        <w:trPr>
          <w:trHeight w:val="454" w:hRule="atLeast"/>
          <w:jc w:val="center"/>
        </w:trPr>
        <w:tc>
          <w:tcPr>
            <w:tcW w:w="743" w:type="dxa"/>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2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众艺广告有限公司</w:t>
            </w:r>
          </w:p>
        </w:tc>
        <w:tc>
          <w:tcPr>
            <w:tcW w:w="37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阳江市江城区石湾北路金雅居小区6号</w:t>
            </w:r>
          </w:p>
        </w:tc>
      </w:tr>
      <w:tr>
        <w:tblPrEx>
          <w:tblCellMar>
            <w:top w:w="0" w:type="dxa"/>
            <w:left w:w="108" w:type="dxa"/>
            <w:bottom w:w="0" w:type="dxa"/>
            <w:right w:w="108" w:type="dxa"/>
          </w:tblCellMar>
        </w:tblPrEx>
        <w:trPr>
          <w:trHeight w:val="454" w:hRule="atLeast"/>
          <w:jc w:val="center"/>
        </w:trPr>
        <w:tc>
          <w:tcPr>
            <w:tcW w:w="743" w:type="dxa"/>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2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阳江市四维文化传媒有限公司</w:t>
            </w:r>
          </w:p>
        </w:tc>
        <w:tc>
          <w:tcPr>
            <w:tcW w:w="37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阳江市江城潮排北三巷2号</w:t>
            </w:r>
          </w:p>
        </w:tc>
      </w:tr>
      <w:tr>
        <w:tblPrEx>
          <w:tblCellMar>
            <w:top w:w="0" w:type="dxa"/>
            <w:left w:w="108" w:type="dxa"/>
            <w:bottom w:w="0" w:type="dxa"/>
            <w:right w:w="108" w:type="dxa"/>
          </w:tblCellMar>
        </w:tblPrEx>
        <w:trPr>
          <w:trHeight w:val="454" w:hRule="atLeast"/>
          <w:jc w:val="center"/>
        </w:trPr>
        <w:tc>
          <w:tcPr>
            <w:tcW w:w="743" w:type="dxa"/>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2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阳江市德信工贸有限公司</w:t>
            </w:r>
          </w:p>
        </w:tc>
        <w:tc>
          <w:tcPr>
            <w:tcW w:w="37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阳江市东风一路五十二号301室</w:t>
            </w:r>
          </w:p>
        </w:tc>
      </w:tr>
      <w:tr>
        <w:tblPrEx>
          <w:tblCellMar>
            <w:top w:w="0" w:type="dxa"/>
            <w:left w:w="108" w:type="dxa"/>
            <w:bottom w:w="0" w:type="dxa"/>
            <w:right w:w="108" w:type="dxa"/>
          </w:tblCellMar>
        </w:tblPrEx>
        <w:trPr>
          <w:trHeight w:val="454" w:hRule="atLeast"/>
          <w:jc w:val="center"/>
        </w:trPr>
        <w:tc>
          <w:tcPr>
            <w:tcW w:w="743" w:type="dxa"/>
            <w:tcBorders>
              <w:top w:val="nil"/>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32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阳江市鑫大洋图文服务中心</w:t>
            </w:r>
          </w:p>
        </w:tc>
        <w:tc>
          <w:tcPr>
            <w:tcW w:w="3775" w:type="dxa"/>
            <w:tcBorders>
              <w:top w:val="nil"/>
              <w:left w:val="nil"/>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阳江市江城区东风二路58号南方</w:t>
            </w:r>
          </w:p>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雅苑17号</w:t>
            </w:r>
          </w:p>
        </w:tc>
      </w:tr>
      <w:tr>
        <w:tblPrEx>
          <w:tblCellMar>
            <w:top w:w="0" w:type="dxa"/>
            <w:left w:w="108" w:type="dxa"/>
            <w:bottom w:w="0" w:type="dxa"/>
            <w:right w:w="108" w:type="dxa"/>
          </w:tblCellMar>
        </w:tblPrEx>
        <w:trPr>
          <w:trHeight w:val="45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3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阳江市新地餐饮管理有限公司</w:t>
            </w:r>
          </w:p>
        </w:tc>
        <w:tc>
          <w:tcPr>
            <w:tcW w:w="37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阳江江城东风三路6号阳江假日期酒店</w:t>
            </w:r>
          </w:p>
        </w:tc>
      </w:tr>
      <w:tr>
        <w:tblPrEx>
          <w:tblCellMar>
            <w:top w:w="0" w:type="dxa"/>
            <w:left w:w="108" w:type="dxa"/>
            <w:bottom w:w="0" w:type="dxa"/>
            <w:right w:w="108" w:type="dxa"/>
          </w:tblCellMar>
        </w:tblPrEx>
        <w:trPr>
          <w:trHeight w:val="45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3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柯尼电商设计有限公司</w:t>
            </w:r>
          </w:p>
        </w:tc>
        <w:tc>
          <w:tcPr>
            <w:tcW w:w="37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阳江市江城区东门南路90号二楼</w:t>
            </w:r>
          </w:p>
        </w:tc>
      </w:tr>
      <w:tr>
        <w:tblPrEx>
          <w:tblCellMar>
            <w:top w:w="0" w:type="dxa"/>
            <w:left w:w="108" w:type="dxa"/>
            <w:bottom w:w="0" w:type="dxa"/>
            <w:right w:w="108" w:type="dxa"/>
          </w:tblCellMar>
        </w:tblPrEx>
        <w:trPr>
          <w:trHeight w:val="45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2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阳江一所文化传播有限公司</w:t>
            </w:r>
          </w:p>
        </w:tc>
        <w:tc>
          <w:tcPr>
            <w:tcW w:w="377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阳江市江城区潮排山开发区B4-4</w:t>
            </w:r>
          </w:p>
        </w:tc>
      </w:tr>
    </w:tbl>
    <w:p>
      <w:pPr>
        <w:pStyle w:val="4"/>
        <w:bidi w:val="0"/>
        <w:rPr>
          <w:rFonts w:hint="eastAsia"/>
          <w:color w:val="auto"/>
        </w:rPr>
      </w:pPr>
      <w:bookmarkStart w:id="79" w:name="_Toc25610"/>
      <w:bookmarkStart w:id="80" w:name="_Toc18412"/>
      <w:bookmarkStart w:id="81" w:name="_Toc14465"/>
      <w:bookmarkStart w:id="82" w:name="_Toc25880"/>
      <w:bookmarkStart w:id="83" w:name="_Toc13814"/>
      <w:r>
        <w:rPr>
          <w:rFonts w:hint="eastAsia"/>
          <w:color w:val="auto"/>
        </w:rPr>
        <w:t>（三）教学资源</w:t>
      </w:r>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教学资源主要包括能够满足学生专业学习、教师专业教学研究和教学实施需求的教材、图书及数字化资源等。</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1.教材选用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TW"/>
        </w:rPr>
        <w:t>严格执行国家和广东省关于教材选用的有关要求</w:t>
      </w:r>
      <w:r>
        <w:rPr>
          <w:rFonts w:hint="eastAsia" w:ascii="宋体" w:hAnsi="宋体" w:eastAsia="宋体" w:cs="宋体"/>
          <w:color w:val="auto"/>
          <w:sz w:val="24"/>
          <w:lang w:val="en-US" w:eastAsia="zh-CN"/>
        </w:rPr>
        <w:t>，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2.图书文献配备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CN"/>
        </w:rPr>
        <w:t>图书资料</w:t>
      </w:r>
      <w:r>
        <w:rPr>
          <w:rFonts w:hint="eastAsia" w:ascii="宋体" w:hAnsi="宋体" w:eastAsia="宋体" w:cs="宋体"/>
          <w:color w:val="auto"/>
          <w:sz w:val="24"/>
          <w:lang w:val="en-US" w:eastAsia="zh-CN"/>
        </w:rPr>
        <w:t>采购要求与计算机平面设计专业配套，应能满足人才培养、专业建设、教科研等工作的需要</w:t>
      </w:r>
      <w:r>
        <w:rPr>
          <w:rFonts w:hint="eastAsia" w:ascii="宋体" w:hAnsi="宋体" w:eastAsia="宋体" w:cs="宋体"/>
          <w:color w:val="auto"/>
          <w:sz w:val="24"/>
          <w:lang w:val="zh-TW" w:eastAsia="zh-CN"/>
        </w:rPr>
        <w:t>；</w:t>
      </w:r>
      <w:r>
        <w:rPr>
          <w:rFonts w:hint="eastAsia" w:ascii="宋体" w:hAnsi="宋体" w:eastAsia="宋体" w:cs="宋体"/>
          <w:color w:val="auto"/>
          <w:sz w:val="24"/>
          <w:lang w:val="zh-TW" w:eastAsia="zh-TW"/>
        </w:rPr>
        <w:t>图书馆藏书包括印刷图书和电子图书，其中以印刷图书为主，每年保持一定数量的图书更新，充分满足师生图书借阅需要；图书馆应管理规范，设有电子阅览室，图书馆管理人员应具备良好的图书馆专业知识与专业技能，不断提高现代化管理程度。</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3.数字教学资源配置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TW"/>
        </w:rPr>
        <w:t>根据教学实际需要组织学校与行业、企业共同建设共享型精品课程信息化教学资源。</w:t>
      </w:r>
      <w:r>
        <w:rPr>
          <w:rFonts w:hint="eastAsia" w:ascii="宋体" w:hAnsi="宋体" w:eastAsia="宋体" w:cs="宋体"/>
          <w:color w:val="auto"/>
          <w:sz w:val="24"/>
          <w:lang w:val="en-US" w:eastAsia="zh-CN"/>
        </w:rPr>
        <w:t>配备与本专业（群）有关的音视频素材、教学课件、数字化教学案例库、虚拟仿真软件、数字教材等专业教学资源库，种类丰富、形式多样、使用便捷、动态更新、满足教学。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学校将提供硬件设备保障，如服务器、网络、设备终端等。教学资源建设如纳入信息化项目建设，将按照相关建设要求进行申报、建设。</w:t>
      </w:r>
    </w:p>
    <w:p>
      <w:pPr>
        <w:pStyle w:val="4"/>
        <w:bidi w:val="0"/>
        <w:rPr>
          <w:rFonts w:hint="eastAsia"/>
          <w:color w:val="auto"/>
        </w:rPr>
      </w:pPr>
      <w:bookmarkStart w:id="84" w:name="_Toc1552"/>
      <w:bookmarkStart w:id="85" w:name="_Toc9715"/>
      <w:bookmarkStart w:id="86" w:name="_Toc31772"/>
      <w:bookmarkStart w:id="87" w:name="_Toc7478"/>
      <w:bookmarkStart w:id="88" w:name="_Toc24185"/>
      <w:r>
        <w:rPr>
          <w:rFonts w:hint="eastAsia"/>
          <w:color w:val="auto"/>
        </w:rPr>
        <w:t>（四）教学实施</w:t>
      </w:r>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以实际岗位工作过程引领教学，实现专业设置与职业岗位对接、课程内容与职位标准对接、教学过程与生产过程对接、毕业证书与职业证书对接、职业教育与终身教育对接。推动教师、教材、教法改革，教师要准确把握课程教学要求，做好课程总体设计，规范编写和严格执行教案，按程序选用教材，合理运用各类教学资源，做好教学组织实施。</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1.公共基础课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公共基础课的任务是依据教育部统颁的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2.专业课程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专业的核心课程任务是培养学生掌握必要的相关专业知识，以及各个方向都需要的比较熟练的职业技能，提高学生就业创业能力和适应职业变化的能力。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3.实践教学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实践教学是专业技能课程教学的重要内容，是培养学生良好的职业道德，强化学生实践能力，提高综合职业能力的重要环节。坚持工学结合、校企合作，强化教学、学习、实训相融合的教育教学活动，重视校内教学实训，特别是生产性实训。加强专业实践课程教学、加大实训实习在教学中的比重，完善专业实践课程体系。要按照专业培养目标的要求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pPr>
        <w:pStyle w:val="4"/>
        <w:bidi w:val="0"/>
        <w:rPr>
          <w:rFonts w:hint="eastAsia"/>
          <w:color w:val="auto"/>
        </w:rPr>
      </w:pPr>
      <w:bookmarkStart w:id="89" w:name="_Toc30412"/>
      <w:bookmarkStart w:id="90" w:name="_Toc21367"/>
      <w:bookmarkStart w:id="91" w:name="_Toc16334"/>
      <w:bookmarkStart w:id="92" w:name="_Toc11716"/>
      <w:bookmarkStart w:id="93" w:name="_Toc21806"/>
      <w:r>
        <w:rPr>
          <w:rFonts w:hint="eastAsia"/>
          <w:color w:val="auto"/>
        </w:rPr>
        <w:t>（五）学习评价</w:t>
      </w:r>
      <w:bookmarkEnd w:id="89"/>
      <w:bookmarkEnd w:id="90"/>
      <w:bookmarkEnd w:id="91"/>
      <w:bookmarkEnd w:id="92"/>
      <w:bookmarkEnd w:id="93"/>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1.专业课程考核评价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pPr>
        <w:bidi w:val="0"/>
        <w:spacing w:line="440" w:lineRule="exact"/>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（1）过程性考核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pPr>
        <w:bidi w:val="0"/>
        <w:spacing w:line="440" w:lineRule="exact"/>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（2）结果性考核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主要用于考核学生对课程知识的理解和掌握，通过期末考试或答辩等方式来进行考核评价。</w:t>
      </w:r>
    </w:p>
    <w:p>
      <w:pPr>
        <w:bidi w:val="0"/>
        <w:spacing w:line="440" w:lineRule="exact"/>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（3）课程总体评价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根据课程的目标与过程性考核评价成绩、终结性考核评价的相关程度，按比例计入课程期末成绩。</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2.岗位实习课程的考核评价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成立由企业（兼职）指导教师、专业指导教师和辅导员（或班主任）组成的考核组，主要对学生在实习期间的劳动纪律、工作态度、团队合作精神、人际沟通能力、专业技术能力和任务完成等方面情况进行考核评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职业素养及各科成绩合格，身体健康，无违纪违法行为，准予毕业。</w:t>
      </w:r>
    </w:p>
    <w:p>
      <w:pPr>
        <w:pStyle w:val="4"/>
        <w:bidi w:val="0"/>
        <w:rPr>
          <w:rFonts w:hint="eastAsia"/>
          <w:color w:val="auto"/>
        </w:rPr>
      </w:pPr>
      <w:bookmarkStart w:id="94" w:name="_Toc2531"/>
      <w:bookmarkStart w:id="95" w:name="_Toc13173"/>
      <w:bookmarkStart w:id="96" w:name="_Toc23149"/>
      <w:bookmarkStart w:id="97" w:name="_Toc28192"/>
      <w:bookmarkStart w:id="98" w:name="_Toc19132"/>
      <w:r>
        <w:rPr>
          <w:rFonts w:hint="eastAsia"/>
          <w:color w:val="auto"/>
        </w:rPr>
        <w:t>（六）质量管理</w:t>
      </w:r>
      <w:bookmarkEnd w:id="94"/>
      <w:bookmarkEnd w:id="95"/>
      <w:bookmarkEnd w:id="96"/>
      <w:bookmarkEnd w:id="97"/>
      <w:bookmarkEnd w:id="98"/>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1.教学策略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专业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2.教学管理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为了保障人才培养方案的顺利实施，确保人才质量，依据学校人才培养模式改革的教学管理体系和质量监控体系，形成由目标、实施、质量标准、评价与反馈、调控等环节构成的闭环管理模式。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drawing>
          <wp:inline distT="0" distB="0" distL="114300" distR="114300">
            <wp:extent cx="5158105" cy="842645"/>
            <wp:effectExtent l="0" t="0" r="10795" b="825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5158105" cy="842645"/>
                    </a:xfrm>
                    <a:prstGeom prst="rect">
                      <a:avLst/>
                    </a:prstGeom>
                    <a:noFill/>
                    <a:ln>
                      <a:solidFill>
                        <a:schemeClr val="tx1"/>
                      </a:solid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建立学校、专业部两级的质量保障体系，校级由教学督导、专家组成小组开展教学质量监控，专业部由主任、教研组长、专业带头人、高级职称教师组成小组开展课堂听课。运用信息化手段落实教学质量措施，提高人才培养质量各环节的工作。</w:t>
      </w:r>
    </w:p>
    <w:p>
      <w:pPr>
        <w:bidi w:val="0"/>
        <w:spacing w:line="440" w:lineRule="exact"/>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（1）学校层面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落实学生评教制度，收集学生对教师教学情况的评价信息，同时每学期在期中教学质量检查中召开学生座谈会、开展问卷调查，把评教制度落到实处；加强教学督导，学校教学督导组对所有教学活动、各个教学环节、每位科任教师进行经常性的随机督查，并对督导结果进行分析、提出处理意见和工作建议；重视用人单位对教学的意见，广泛听取用人单位（企业）对人才培养工作的意见与建议，在对反馈信息进行认真分析的基础上提出整改意见。</w:t>
      </w:r>
    </w:p>
    <w:p>
      <w:pPr>
        <w:bidi w:val="0"/>
        <w:spacing w:line="440" w:lineRule="exact"/>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（2）专业系层面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专业系在学校管理体系的基础上，根据专业自身特点进一步完善教学管理制度，对教学质量监控体系形成有效的补充。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教学管理要更新理念，改变传统的教学管理方式，以创意设计的行业规范为实际的教学管理要求。教学管理要有一定的规范性和灵活性，合理调配教师、实训室和实训场地等教学资源，为课程的实施创造条件；要加强对教学过程的质量监控，改革教学评价的标准和方法，促进教师教学能力的提升，保证教学质量。</w:t>
      </w:r>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99" w:name="_Toc26519"/>
      <w:bookmarkStart w:id="100" w:name="_Toc31468"/>
      <w:r>
        <w:rPr>
          <w:rFonts w:hint="eastAsia" w:eastAsia="黑体" w:asciiTheme="minorAscii" w:hAnsiTheme="minorAscii" w:cstheme="minorBidi"/>
          <w:b/>
          <w:color w:val="auto"/>
          <w:kern w:val="44"/>
          <w:sz w:val="30"/>
          <w:szCs w:val="24"/>
          <w:lang w:val="en-US" w:eastAsia="zh-CN" w:bidi="ar-SA"/>
        </w:rPr>
        <w:t>毕业要求</w:t>
      </w:r>
      <w:bookmarkEnd w:id="99"/>
      <w:bookmarkEnd w:id="100"/>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lang w:val="en-US" w:eastAsia="zh-CN"/>
        </w:rPr>
      </w:pPr>
      <w:bookmarkStart w:id="101" w:name="_Toc11473"/>
      <w:r>
        <w:rPr>
          <w:rFonts w:hint="default" w:ascii="宋体" w:hAnsi="宋体" w:eastAsia="宋体" w:cs="宋体"/>
          <w:color w:val="auto"/>
          <w:sz w:val="24"/>
          <w:lang w:val="en-US" w:eastAsia="zh-CN"/>
        </w:rPr>
        <w:t>学生通过三学年的学习，根据阳江市第一职业技术学校专业培养特色及专业培养目标的要求，通过公共基础课程、专业技能课程教学、技能竞赛等教学环节，使毕业生达到人才培养目标和规格的要求，成绩合格，修满规定的学分</w:t>
      </w:r>
      <w:bookmarkEnd w:id="101"/>
      <w:r>
        <w:rPr>
          <w:rFonts w:hint="default" w:ascii="宋体" w:hAnsi="宋体" w:eastAsia="宋体" w:cs="宋体"/>
          <w:color w:val="auto"/>
          <w:sz w:val="24"/>
          <w:lang w:val="en-US" w:eastAsia="zh-CN"/>
        </w:rPr>
        <w:t>。</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汉仪粗仿宋简">
    <w:altName w:val="宋体"/>
    <w:panose1 w:val="00000000000000000000"/>
    <w:charset w:val="86"/>
    <w:family w:val="auto"/>
    <w:pitch w:val="default"/>
    <w:sig w:usb0="00000000" w:usb1="00000000" w:usb2="00000012" w:usb3="00000000" w:csb0="00040000" w:csb1="00000000"/>
  </w:font>
  <w:font w:name="楷体">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D28D4"/>
    <w:multiLevelType w:val="multilevel"/>
    <w:tmpl w:val="9B5D28D4"/>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960" w:firstLine="0"/>
      </w:pPr>
      <w:rPr>
        <w:rFonts w:hint="eastAsia"/>
        <w:sz w:val="24"/>
        <w:szCs w:val="24"/>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B0A8CCBE"/>
    <w:multiLevelType w:val="singleLevel"/>
    <w:tmpl w:val="B0A8CCBE"/>
    <w:lvl w:ilvl="0" w:tentative="0">
      <w:start w:val="1"/>
      <w:numFmt w:val="chineseCounting"/>
      <w:suff w:val="nothing"/>
      <w:lvlText w:val="%1、"/>
      <w:lvlJc w:val="left"/>
      <w:rPr>
        <w:rFonts w:hint="eastAsia"/>
      </w:rPr>
    </w:lvl>
  </w:abstractNum>
  <w:abstractNum w:abstractNumId="2">
    <w:nsid w:val="C30A9A31"/>
    <w:multiLevelType w:val="singleLevel"/>
    <w:tmpl w:val="C30A9A31"/>
    <w:lvl w:ilvl="0" w:tentative="0">
      <w:start w:val="1"/>
      <w:numFmt w:val="chineseCounting"/>
      <w:suff w:val="nothing"/>
      <w:lvlText w:val="（%1）"/>
      <w:lvlJc w:val="left"/>
      <w:pPr>
        <w:ind w:left="0" w:firstLine="420"/>
      </w:pPr>
      <w:rPr>
        <w:rFonts w:hint="eastAsia"/>
      </w:rPr>
    </w:lvl>
  </w:abstractNum>
  <w:abstractNum w:abstractNumId="3">
    <w:nsid w:val="C405B2A6"/>
    <w:multiLevelType w:val="singleLevel"/>
    <w:tmpl w:val="C405B2A6"/>
    <w:lvl w:ilvl="0" w:tentative="0">
      <w:start w:val="1"/>
      <w:numFmt w:val="chineseCounting"/>
      <w:suff w:val="nothing"/>
      <w:lvlText w:val="（%1）"/>
      <w:lvlJc w:val="left"/>
      <w:pPr>
        <w:ind w:left="0" w:firstLine="420"/>
      </w:pPr>
      <w:rPr>
        <w:rFonts w:hint="eastAsia"/>
      </w:rPr>
    </w:lvl>
  </w:abstractNum>
  <w:abstractNum w:abstractNumId="4">
    <w:nsid w:val="63E711E2"/>
    <w:multiLevelType w:val="singleLevel"/>
    <w:tmpl w:val="63E711E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M2I2NmJiNTQ3MDlkZmNiNTZhZDQ5MjU1NmM3ZTUifQ=="/>
  </w:docVars>
  <w:rsids>
    <w:rsidRoot w:val="00000000"/>
    <w:rsid w:val="01D944BB"/>
    <w:rsid w:val="0ACF5E3A"/>
    <w:rsid w:val="0E811D23"/>
    <w:rsid w:val="11515ABE"/>
    <w:rsid w:val="14C71DFA"/>
    <w:rsid w:val="14CF6D94"/>
    <w:rsid w:val="159716B2"/>
    <w:rsid w:val="159B4C9D"/>
    <w:rsid w:val="15FD7FC2"/>
    <w:rsid w:val="163868AA"/>
    <w:rsid w:val="16685D83"/>
    <w:rsid w:val="18115FA7"/>
    <w:rsid w:val="184078B1"/>
    <w:rsid w:val="1B716977"/>
    <w:rsid w:val="1BD15A56"/>
    <w:rsid w:val="1E2F48A5"/>
    <w:rsid w:val="1FCA3444"/>
    <w:rsid w:val="21630D7F"/>
    <w:rsid w:val="21E11089"/>
    <w:rsid w:val="21E85FCA"/>
    <w:rsid w:val="228E048C"/>
    <w:rsid w:val="24011BB8"/>
    <w:rsid w:val="266C6D94"/>
    <w:rsid w:val="27313BEE"/>
    <w:rsid w:val="2A016C8F"/>
    <w:rsid w:val="2C91530D"/>
    <w:rsid w:val="2D8C1F00"/>
    <w:rsid w:val="2E8567B9"/>
    <w:rsid w:val="2F9F7EAA"/>
    <w:rsid w:val="303F1F47"/>
    <w:rsid w:val="30D0692D"/>
    <w:rsid w:val="30ED3E6F"/>
    <w:rsid w:val="33157D7D"/>
    <w:rsid w:val="34871673"/>
    <w:rsid w:val="37967A1C"/>
    <w:rsid w:val="386A7F92"/>
    <w:rsid w:val="39262FEA"/>
    <w:rsid w:val="39567387"/>
    <w:rsid w:val="3B567FF1"/>
    <w:rsid w:val="3CEF66DE"/>
    <w:rsid w:val="3D6D2E4D"/>
    <w:rsid w:val="40D53766"/>
    <w:rsid w:val="41495E9F"/>
    <w:rsid w:val="42F779C3"/>
    <w:rsid w:val="438359FB"/>
    <w:rsid w:val="441B5E2C"/>
    <w:rsid w:val="449750E1"/>
    <w:rsid w:val="44CE0BF8"/>
    <w:rsid w:val="49321034"/>
    <w:rsid w:val="4BB46D99"/>
    <w:rsid w:val="4DB17E43"/>
    <w:rsid w:val="510D0331"/>
    <w:rsid w:val="53202399"/>
    <w:rsid w:val="539749BA"/>
    <w:rsid w:val="55365A16"/>
    <w:rsid w:val="5ACB4DBB"/>
    <w:rsid w:val="5C3B0975"/>
    <w:rsid w:val="5CA33C84"/>
    <w:rsid w:val="5DC03C32"/>
    <w:rsid w:val="5EFF163B"/>
    <w:rsid w:val="5F5F6BC4"/>
    <w:rsid w:val="631E0B0B"/>
    <w:rsid w:val="65D9352C"/>
    <w:rsid w:val="65EF5DB9"/>
    <w:rsid w:val="6A164324"/>
    <w:rsid w:val="6D480C98"/>
    <w:rsid w:val="6DB04E0C"/>
    <w:rsid w:val="6DBA43A7"/>
    <w:rsid w:val="6EBB00A3"/>
    <w:rsid w:val="70347A19"/>
    <w:rsid w:val="71777222"/>
    <w:rsid w:val="73F074CB"/>
    <w:rsid w:val="75093403"/>
    <w:rsid w:val="76245C51"/>
    <w:rsid w:val="766A1C7F"/>
    <w:rsid w:val="76864083"/>
    <w:rsid w:val="76E7500A"/>
    <w:rsid w:val="77141821"/>
    <w:rsid w:val="782E757F"/>
    <w:rsid w:val="7A5A025C"/>
    <w:rsid w:val="7B431001"/>
    <w:rsid w:val="7B9A6074"/>
    <w:rsid w:val="7C7B508B"/>
    <w:rsid w:val="7C9D5E76"/>
    <w:rsid w:val="7E85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numPr>
        <w:ilvl w:val="0"/>
        <w:numId w:val="1"/>
      </w:numPr>
      <w:spacing w:before="30" w:beforeLines="30" w:after="30" w:afterLines="30" w:line="440" w:lineRule="exact"/>
      <w:ind w:firstLine="723" w:firstLineChars="200"/>
      <w:jc w:val="both"/>
      <w:outlineLvl w:val="0"/>
    </w:pPr>
    <w:rPr>
      <w:rFonts w:ascii="Calibri" w:hAnsi="Calibri" w:eastAsia="宋体" w:cs="Times New Roman"/>
      <w:bCs/>
      <w:kern w:val="44"/>
      <w:sz w:val="30"/>
      <w:szCs w:val="44"/>
    </w:rPr>
  </w:style>
  <w:style w:type="paragraph" w:styleId="4">
    <w:name w:val="heading 2"/>
    <w:basedOn w:val="1"/>
    <w:next w:val="1"/>
    <w:unhideWhenUsed/>
    <w:qFormat/>
    <w:uiPriority w:val="0"/>
    <w:pPr>
      <w:keepNext/>
      <w:keepLines/>
      <w:spacing w:before="30" w:beforeLines="30" w:beforeAutospacing="0" w:after="30" w:afterLines="30" w:afterAutospacing="0" w:line="460" w:lineRule="exact"/>
      <w:ind w:firstLine="720" w:firstLineChars="200"/>
      <w:outlineLvl w:val="1"/>
    </w:pPr>
    <w:rPr>
      <w:rFonts w:ascii="Arial" w:hAnsi="Arial" w:eastAsia="华文楷体"/>
      <w:b/>
      <w:sz w:val="28"/>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1">
    <w:name w:val="Default Paragraph Font"/>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ind w:firstLine="560"/>
      <w:jc w:val="both"/>
    </w:pPr>
    <w:rPr>
      <w:rFonts w:ascii="Calibri" w:hAnsi="Calibri" w:eastAsia="汉仪粗仿宋简" w:cs="黑体"/>
      <w:kern w:val="2"/>
      <w:sz w:val="28"/>
      <w:szCs w:val="28"/>
      <w:lang w:val="en-US" w:eastAsia="zh-CN" w:bidi="ar-SA"/>
    </w:rPr>
  </w:style>
  <w:style w:type="paragraph" w:styleId="11">
    <w:name w:val="Normal Indent"/>
    <w:basedOn w:val="1"/>
    <w:qFormat/>
    <w:uiPriority w:val="99"/>
    <w:pPr>
      <w:ind w:firstLine="420" w:firstLineChars="200"/>
    </w:pPr>
  </w:style>
  <w:style w:type="paragraph" w:styleId="12">
    <w:name w:val="caption"/>
    <w:basedOn w:val="1"/>
    <w:next w:val="1"/>
    <w:unhideWhenUsed/>
    <w:qFormat/>
    <w:uiPriority w:val="0"/>
    <w:pPr>
      <w:spacing w:line="240" w:lineRule="auto"/>
      <w:ind w:firstLine="0" w:firstLineChars="0"/>
      <w:jc w:val="center"/>
    </w:pPr>
    <w:rPr>
      <w:rFonts w:ascii="Arial" w:hAnsi="Arial" w:eastAsia="黑体"/>
      <w:sz w:val="20"/>
    </w:rPr>
  </w:style>
  <w:style w:type="paragraph" w:styleId="13">
    <w:name w:val="Body Text"/>
    <w:basedOn w:val="1"/>
    <w:qFormat/>
    <w:uiPriority w:val="0"/>
    <w:pPr>
      <w:ind w:left="151"/>
    </w:pPr>
    <w:rPr>
      <w:rFonts w:ascii="宋体" w:hAnsi="宋体" w:cs="宋体"/>
      <w:sz w:val="28"/>
      <w:szCs w:val="28"/>
      <w:lang w:val="zh-CN" w:bidi="zh-CN"/>
    </w:rPr>
  </w:style>
  <w:style w:type="paragraph" w:styleId="14">
    <w:name w:val="Body Text Indent"/>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Body Text First Indent"/>
    <w:basedOn w:val="13"/>
    <w:unhideWhenUsed/>
    <w:qFormat/>
    <w:uiPriority w:val="99"/>
    <w:pPr>
      <w:spacing w:after="120"/>
      <w:ind w:left="0" w:firstLine="420" w:firstLineChars="100"/>
    </w:pPr>
    <w:rPr>
      <w:rFonts w:ascii="Calibri" w:hAnsi="Calibri" w:cs="Calibri"/>
      <w:sz w:val="21"/>
      <w:szCs w:val="21"/>
      <w:lang w:val="en-US" w:bidi="ar-SA"/>
    </w:rPr>
  </w:style>
  <w:style w:type="paragraph" w:styleId="18">
    <w:name w:val="Body Text First Indent 2"/>
    <w:basedOn w:val="14"/>
    <w:next w:val="13"/>
    <w:qFormat/>
    <w:uiPriority w:val="0"/>
    <w:pPr>
      <w:ind w:firstLine="420" w:firstLineChars="200"/>
    </w:pPr>
    <w:rPr>
      <w:rFonts w:ascii="Times New Roman" w:hAnsi="Times New Roman" w:eastAsia="宋体" w:cs="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0"/>
    <w:rPr>
      <w:i/>
    </w:rPr>
  </w:style>
  <w:style w:type="character" w:customStyle="1" w:styleId="23">
    <w:name w:val="Heading 1 Char"/>
    <w:basedOn w:val="21"/>
    <w:link w:val="3"/>
    <w:qFormat/>
    <w:uiPriority w:val="9"/>
    <w:rPr>
      <w:rFonts w:ascii="Calibri" w:hAnsi="Calibri" w:eastAsia="宋体" w:cs="Times New Roman"/>
      <w:bCs/>
      <w:kern w:val="44"/>
      <w:sz w:val="28"/>
      <w:szCs w:val="44"/>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21"/>
    <w:basedOn w:val="21"/>
    <w:qFormat/>
    <w:uiPriority w:val="0"/>
    <w:rPr>
      <w:rFonts w:hint="eastAsia" w:ascii="宋体" w:hAnsi="宋体" w:eastAsia="宋体" w:cs="宋体"/>
      <w:color w:val="000000"/>
      <w:sz w:val="22"/>
      <w:szCs w:val="22"/>
      <w:u w:val="none"/>
    </w:rPr>
  </w:style>
  <w:style w:type="character" w:customStyle="1" w:styleId="26">
    <w:name w:val="font01"/>
    <w:basedOn w:val="21"/>
    <w:qFormat/>
    <w:uiPriority w:val="0"/>
    <w:rPr>
      <w:rFonts w:hint="eastAsia" w:ascii="宋体" w:hAnsi="宋体" w:eastAsia="宋体" w:cs="宋体"/>
      <w:color w:val="000000"/>
      <w:sz w:val="22"/>
      <w:szCs w:val="22"/>
      <w:u w:val="none"/>
    </w:rPr>
  </w:style>
  <w:style w:type="paragraph" w:customStyle="1" w:styleId="27">
    <w:name w:val="WPSOffice手动目录 1"/>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12300</Words>
  <Characters>12678</Characters>
  <Lines>0</Lines>
  <Paragraphs>0</Paragraphs>
  <TotalTime>5</TotalTime>
  <ScaleCrop>false</ScaleCrop>
  <LinksUpToDate>false</LinksUpToDate>
  <CharactersWithSpaces>12749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2022-11-05T01:09:00Z</dcterms:created>
  <dc:creator>职教桥周洁</dc:creator>
  <cp:lastModifiedBy>yj</cp:lastModifiedBy>
  <dcterms:modified xsi:type="dcterms:W3CDTF">2023-06-16T07:57:04Z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782BFDECFC774FF488D7C49866AB345F</vt:lpwstr>
  </property>
</Properties>
</file>