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49" w:beforeLines="400" w:line="360" w:lineRule="auto"/>
        <w:ind w:firstLine="0" w:firstLineChars="0"/>
        <w:jc w:val="center"/>
        <w:textAlignment w:val="auto"/>
        <w:rPr>
          <w:rFonts w:hint="eastAsia" w:ascii="楷体" w:hAnsi="楷体" w:eastAsia="楷体"/>
          <w:b/>
          <w:bCs/>
          <w:sz w:val="56"/>
          <w:szCs w:val="56"/>
          <w:lang w:val="en-US" w:eastAsia="zh-CN"/>
        </w:rPr>
      </w:pPr>
      <w:bookmarkStart w:id="0" w:name="_Hlk80881458"/>
      <w:bookmarkEnd w:id="0"/>
      <w:bookmarkStart w:id="1" w:name="_Toc10776"/>
      <w:r>
        <w:rPr>
          <w:rFonts w:asciiTheme="minorEastAsia" w:hAnsiTheme="minorEastAsia" w:cstheme="minorEastAsia"/>
          <w:b/>
          <w:bCs/>
          <w:sz w:val="36"/>
          <w:szCs w:val="44"/>
        </w:rPr>
        <w:drawing>
          <wp:inline distT="0" distB="0" distL="0" distR="0">
            <wp:extent cx="1607820" cy="1606550"/>
            <wp:effectExtent l="0" t="0" r="1905"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5" cstate="print">
                      <a:extLst>
                        <a:ext uri="{28A0092B-C50C-407E-A947-70E740481C1C}">
                          <a14:useLocalDpi xmlns:a14="http://schemas.microsoft.com/office/drawing/2010/main" val="0"/>
                        </a:ext>
                      </a:extLst>
                    </a:blip>
                    <a:srcRect l="26467" t="5625" r="27604" b="31118"/>
                    <a:stretch>
                      <a:fillRect/>
                    </a:stretch>
                  </pic:blipFill>
                  <pic:spPr>
                    <a:xfrm>
                      <a:off x="2910205" y="1194435"/>
                      <a:ext cx="1607820" cy="1606550"/>
                    </a:xfrm>
                    <a:prstGeom prst="rect">
                      <a:avLst/>
                    </a:prstGeom>
                    <a:ln>
                      <a:noFill/>
                    </a:ln>
                  </pic:spPr>
                </pic:pic>
              </a:graphicData>
            </a:graphic>
          </wp:inline>
        </w:drawing>
      </w:r>
    </w:p>
    <w:p>
      <w:pPr>
        <w:pStyle w:val="17"/>
        <w:keepNext w:val="0"/>
        <w:keepLines w:val="0"/>
        <w:pageBreakBefore w:val="0"/>
        <w:widowControl w:val="0"/>
        <w:kinsoku/>
        <w:wordWrap/>
        <w:overflowPunct/>
        <w:topLinePunct w:val="0"/>
        <w:autoSpaceDE/>
        <w:autoSpaceDN/>
        <w:bidi w:val="0"/>
        <w:adjustRightInd/>
        <w:snapToGrid/>
        <w:spacing w:before="0" w:beforeLines="-2147483648" w:after="0" w:afterLines="-2147483648" w:afterAutospacing="0" w:line="240" w:lineRule="auto"/>
        <w:ind w:firstLine="0" w:firstLineChars="0"/>
        <w:jc w:val="center"/>
        <w:textAlignment w:val="auto"/>
        <w:outlineLvl w:val="0"/>
        <w:rPr>
          <w:rFonts w:hint="eastAsia" w:ascii="黑体" w:hAnsi="黑体" w:eastAsia="黑体" w:cs="黑体"/>
          <w:b/>
          <w:kern w:val="2"/>
          <w:sz w:val="52"/>
          <w:szCs w:val="52"/>
          <w:shd w:val="clear" w:color="auto" w:fill="FFFFFF"/>
          <w:lang w:val="en-US" w:eastAsia="zh-CN" w:bidi="ar-SA"/>
        </w:rPr>
      </w:pPr>
      <w:bookmarkStart w:id="2" w:name="_Toc8173"/>
      <w:r>
        <w:rPr>
          <w:rFonts w:hint="eastAsia" w:ascii="华文行楷" w:hAnsi="华文行楷" w:eastAsia="华文行楷" w:cs="华文行楷"/>
          <w:b w:val="0"/>
          <w:bCs w:val="0"/>
          <w:kern w:val="2"/>
          <w:sz w:val="72"/>
          <w:szCs w:val="144"/>
          <w:lang w:val="en-US" w:eastAsia="zh-CN" w:bidi="ar-SA"/>
        </w:rPr>
        <w:t>阳江市第一职业技术学校</w:t>
      </w:r>
      <w:bookmarkEnd w:id="2"/>
    </w:p>
    <w:p>
      <w:pPr>
        <w:spacing w:before="1560" w:beforeLines="500" w:line="360" w:lineRule="auto"/>
        <w:ind w:firstLine="0" w:firstLineChars="0"/>
        <w:jc w:val="center"/>
        <w:outlineLvl w:val="0"/>
        <w:rPr>
          <w:rFonts w:hint="eastAsia" w:ascii="黑体" w:hAnsi="黑体" w:eastAsia="黑体" w:cs="黑体"/>
          <w:b/>
          <w:sz w:val="56"/>
          <w:szCs w:val="56"/>
          <w:shd w:val="clear" w:color="auto" w:fill="FFFFFF"/>
          <w:lang w:val="en-US" w:eastAsia="zh-CN"/>
        </w:rPr>
      </w:pPr>
      <w:bookmarkStart w:id="3" w:name="_Toc5757"/>
      <w:bookmarkStart w:id="4" w:name="_Toc20710"/>
      <w:bookmarkStart w:id="5" w:name="_Toc28060"/>
      <w:bookmarkStart w:id="6" w:name="_Toc3655"/>
      <w:bookmarkStart w:id="7" w:name="_Toc26290"/>
      <w:r>
        <w:rPr>
          <w:rFonts w:hint="eastAsia" w:ascii="黑体" w:hAnsi="黑体" w:eastAsia="黑体" w:cs="黑体"/>
          <w:b/>
          <w:sz w:val="56"/>
          <w:szCs w:val="56"/>
          <w:shd w:val="clear" w:color="auto" w:fill="FFFFFF"/>
          <w:lang w:val="en-US" w:eastAsia="zh-CN"/>
        </w:rPr>
        <w:t>艺术设计与制作</w:t>
      </w:r>
      <w:r>
        <w:rPr>
          <w:rFonts w:hint="eastAsia" w:ascii="黑体" w:hAnsi="黑体" w:eastAsia="黑体" w:cs="黑体"/>
          <w:b/>
          <w:sz w:val="56"/>
          <w:szCs w:val="56"/>
          <w:shd w:val="clear" w:color="auto" w:fill="FFFFFF"/>
        </w:rPr>
        <w:t>专业</w:t>
      </w:r>
      <w:bookmarkEnd w:id="3"/>
      <w:bookmarkEnd w:id="4"/>
      <w:bookmarkEnd w:id="5"/>
      <w:bookmarkEnd w:id="6"/>
      <w:bookmarkStart w:id="8" w:name="_Toc16418"/>
      <w:bookmarkStart w:id="9" w:name="_Toc5591"/>
      <w:r>
        <w:rPr>
          <w:rFonts w:hint="eastAsia" w:ascii="黑体" w:hAnsi="黑体" w:eastAsia="黑体" w:cs="黑体"/>
          <w:b/>
          <w:sz w:val="56"/>
          <w:szCs w:val="56"/>
          <w:shd w:val="clear" w:color="auto" w:fill="FFFFFF"/>
          <w:lang w:val="en-US" w:eastAsia="zh-CN"/>
        </w:rPr>
        <w:t>人才培养方案</w:t>
      </w:r>
      <w:bookmarkEnd w:id="7"/>
      <w:bookmarkEnd w:id="8"/>
      <w:bookmarkEnd w:id="9"/>
    </w:p>
    <w:p>
      <w:pPr>
        <w:pStyle w:val="2"/>
        <w:keepNext w:val="0"/>
        <w:keepLines w:val="0"/>
        <w:pageBreakBefore w:val="0"/>
        <w:widowControl w:val="0"/>
        <w:kinsoku/>
        <w:wordWrap/>
        <w:overflowPunct/>
        <w:topLinePunct w:val="0"/>
        <w:autoSpaceDE/>
        <w:autoSpaceDN/>
        <w:bidi w:val="0"/>
        <w:adjustRightInd/>
        <w:snapToGrid/>
        <w:spacing w:before="3121" w:beforeLines="1000"/>
        <w:ind w:firstLine="0"/>
        <w:jc w:val="center"/>
        <w:textAlignment w:val="auto"/>
        <w:rPr>
          <w:rFonts w:hint="default"/>
          <w:b w:val="0"/>
          <w:bCs/>
          <w:sz w:val="28"/>
          <w:szCs w:val="28"/>
          <w:lang w:val="en-US" w:eastAsia="zh-CN"/>
        </w:rPr>
      </w:pPr>
      <w:r>
        <w:rPr>
          <w:rFonts w:hint="eastAsia" w:ascii="黑体" w:hAnsi="黑体" w:eastAsia="黑体" w:cs="黑体"/>
          <w:b w:val="0"/>
          <w:bCs/>
          <w:sz w:val="28"/>
          <w:szCs w:val="28"/>
          <w:shd w:val="clear" w:color="auto" w:fill="FFFFFF"/>
          <w:lang w:val="en-US" w:eastAsia="zh-CN"/>
        </w:rPr>
        <w:t>2023年5月</w:t>
      </w:r>
    </w:p>
    <w:p>
      <w:pPr>
        <w:keepNext w:val="0"/>
        <w:keepLines w:val="0"/>
        <w:pageBreakBefore w:val="0"/>
        <w:widowControl w:val="0"/>
        <w:kinsoku/>
        <w:wordWrap/>
        <w:overflowPunct/>
        <w:topLinePunct w:val="0"/>
        <w:autoSpaceDE/>
        <w:autoSpaceDN/>
        <w:bidi w:val="0"/>
        <w:adjustRightInd/>
        <w:snapToGrid/>
        <w:spacing w:before="3745" w:beforeLines="1200"/>
        <w:ind w:firstLine="0" w:firstLineChars="0"/>
        <w:jc w:val="center"/>
        <w:textAlignment w:val="auto"/>
        <w:rPr>
          <w:rFonts w:hint="eastAsia" w:asciiTheme="minorEastAsia" w:hAnsiTheme="minorEastAsia" w:eastAsiaTheme="minorEastAsia" w:cstheme="minorEastAsia"/>
          <w:b/>
          <w:sz w:val="36"/>
          <w:szCs w:val="36"/>
          <w:shd w:val="clear" w:color="auto" w:fill="FFFFFF"/>
          <w:lang w:val="en-US" w:eastAsia="zh-CN"/>
        </w:rPr>
        <w:sectPr>
          <w:pgSz w:w="12240" w:h="15840"/>
          <w:pgMar w:top="1440" w:right="1800" w:bottom="1440" w:left="1800" w:header="720" w:footer="720" w:gutter="0"/>
          <w:pgBorders>
            <w:top w:val="none" w:sz="0" w:space="0"/>
            <w:left w:val="none" w:sz="0" w:space="0"/>
            <w:bottom w:val="none" w:sz="0" w:space="0"/>
            <w:right w:val="none" w:sz="0" w:space="0"/>
          </w:pgBorders>
          <w:cols w:space="425" w:num="1"/>
          <w:docGrid w:type="lines" w:linePitch="312" w:charSpace="0"/>
        </w:sect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701"/>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sz w:val="28"/>
                <w:szCs w:val="28"/>
              </w:rPr>
              <w:br w:type="page"/>
            </w:r>
            <w:r>
              <w:rPr>
                <w:rFonts w:hint="eastAsia"/>
                <w:sz w:val="28"/>
                <w:szCs w:val="28"/>
              </w:rPr>
              <w:t>专业名称</w:t>
            </w:r>
          </w:p>
        </w:tc>
        <w:tc>
          <w:tcPr>
            <w:tcW w:w="55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jc w:val="left"/>
              <w:textAlignment w:val="auto"/>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艺术设计与制作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rFonts w:hint="eastAsia"/>
                <w:sz w:val="28"/>
                <w:szCs w:val="28"/>
              </w:rPr>
              <w:t>专业代码</w:t>
            </w:r>
          </w:p>
        </w:tc>
        <w:tc>
          <w:tcPr>
            <w:tcW w:w="552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jc w:val="left"/>
              <w:textAlignment w:val="auto"/>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750101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rFonts w:hint="eastAsia"/>
                <w:sz w:val="28"/>
                <w:szCs w:val="28"/>
              </w:rPr>
              <w:t>适用学生</w:t>
            </w:r>
          </w:p>
        </w:tc>
        <w:tc>
          <w:tcPr>
            <w:tcW w:w="5529" w:type="dxa"/>
            <w:vAlign w:val="center"/>
          </w:tcPr>
          <w:p>
            <w:pPr>
              <w:pStyle w:val="18"/>
              <w:spacing w:beforeLines="0" w:afterLines="0" w:line="240" w:lineRule="auto"/>
              <w:ind w:left="0" w:leftChars="0" w:firstLine="0" w:firstLineChars="0"/>
              <w:jc w:val="left"/>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艺术设计与制作专业学生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34" w:type="dxa"/>
            <w:vMerge w:val="restart"/>
            <w:vAlign w:val="center"/>
          </w:tcPr>
          <w:p>
            <w:pPr>
              <w:pStyle w:val="18"/>
              <w:spacing w:beforeLines="0" w:afterLines="0" w:line="240" w:lineRule="auto"/>
              <w:ind w:left="0" w:leftChars="0" w:firstLine="0" w:firstLineChars="0"/>
              <w:jc w:val="center"/>
              <w:rPr>
                <w:sz w:val="28"/>
                <w:szCs w:val="28"/>
              </w:rPr>
            </w:pPr>
            <w:r>
              <w:rPr>
                <w:rFonts w:hint="eastAsia"/>
                <w:sz w:val="28"/>
                <w:szCs w:val="28"/>
              </w:rPr>
              <w:t>主编</w:t>
            </w:r>
          </w:p>
        </w:tc>
        <w:tc>
          <w:tcPr>
            <w:tcW w:w="1701" w:type="dxa"/>
            <w:vAlign w:val="center"/>
          </w:tcPr>
          <w:p>
            <w:pPr>
              <w:pStyle w:val="18"/>
              <w:spacing w:beforeLines="0" w:afterLines="0" w:line="240" w:lineRule="auto"/>
              <w:ind w:left="0" w:leftChars="0" w:firstLine="0" w:firstLineChars="0"/>
              <w:jc w:val="center"/>
              <w:rPr>
                <w:sz w:val="28"/>
                <w:szCs w:val="28"/>
              </w:rPr>
            </w:pPr>
            <w:r>
              <w:rPr>
                <w:rFonts w:hint="eastAsia"/>
                <w:sz w:val="28"/>
                <w:szCs w:val="28"/>
              </w:rPr>
              <w:t>学校人员</w:t>
            </w:r>
          </w:p>
        </w:tc>
        <w:tc>
          <w:tcPr>
            <w:tcW w:w="5529" w:type="dxa"/>
            <w:vAlign w:val="center"/>
          </w:tcPr>
          <w:p>
            <w:pPr>
              <w:pStyle w:val="18"/>
              <w:spacing w:beforeLines="0" w:afterLines="0" w:line="240" w:lineRule="auto"/>
              <w:ind w:left="0" w:leftChars="0" w:firstLine="0" w:firstLineChars="0"/>
              <w:rPr>
                <w:rFonts w:hint="eastAsia" w:eastAsia="宋体"/>
                <w:sz w:val="28"/>
                <w:szCs w:val="28"/>
                <w:lang w:eastAsia="zh-CN"/>
              </w:rPr>
            </w:pPr>
            <w:r>
              <w:rPr>
                <w:rFonts w:hint="eastAsia"/>
                <w:sz w:val="28"/>
                <w:szCs w:val="28"/>
                <w:lang w:eastAsia="zh-CN"/>
              </w:rPr>
              <w:t>陈宇开</w:t>
            </w:r>
            <w:bookmarkStart w:id="105" w:name="_GoBack"/>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134" w:type="dxa"/>
            <w:vMerge w:val="continue"/>
            <w:vAlign w:val="center"/>
          </w:tcPr>
          <w:p>
            <w:pPr>
              <w:pStyle w:val="18"/>
              <w:spacing w:beforeLines="0" w:afterLines="0" w:line="240" w:lineRule="auto"/>
              <w:ind w:left="0" w:leftChars="0" w:firstLine="0" w:firstLineChars="0"/>
              <w:jc w:val="center"/>
              <w:rPr>
                <w:sz w:val="28"/>
                <w:szCs w:val="28"/>
              </w:rPr>
            </w:pPr>
          </w:p>
        </w:tc>
        <w:tc>
          <w:tcPr>
            <w:tcW w:w="1701" w:type="dxa"/>
            <w:vAlign w:val="center"/>
          </w:tcPr>
          <w:p>
            <w:pPr>
              <w:pStyle w:val="18"/>
              <w:spacing w:beforeLines="0" w:afterLines="0" w:line="240" w:lineRule="auto"/>
              <w:ind w:left="0" w:leftChars="0" w:firstLine="0" w:firstLineChars="0"/>
              <w:jc w:val="center"/>
              <w:rPr>
                <w:sz w:val="28"/>
                <w:szCs w:val="28"/>
              </w:rPr>
            </w:pPr>
            <w:r>
              <w:rPr>
                <w:rFonts w:hint="eastAsia"/>
                <w:sz w:val="28"/>
                <w:szCs w:val="28"/>
              </w:rPr>
              <w:t>企业人员</w:t>
            </w:r>
          </w:p>
        </w:tc>
        <w:tc>
          <w:tcPr>
            <w:tcW w:w="5529" w:type="dxa"/>
            <w:vAlign w:val="center"/>
          </w:tcPr>
          <w:p>
            <w:pPr>
              <w:pStyle w:val="18"/>
              <w:spacing w:beforeLines="0" w:afterLines="0" w:line="240" w:lineRule="auto"/>
              <w:ind w:left="0" w:leftChars="0" w:firstLine="0" w:firstLineChars="0"/>
              <w:rPr>
                <w:rFonts w:hint="eastAsia" w:eastAsia="宋体"/>
                <w:sz w:val="28"/>
                <w:szCs w:val="28"/>
                <w:lang w:eastAsia="zh-CN"/>
              </w:rPr>
            </w:pPr>
            <w:r>
              <w:rPr>
                <w:rFonts w:hint="eastAsia" w:eastAsia="宋体"/>
                <w:sz w:val="28"/>
                <w:szCs w:val="28"/>
                <w:lang w:eastAsia="zh-CN"/>
              </w:rPr>
              <w:t>广东职教桥数据科技有限公司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134" w:type="dxa"/>
            <w:vMerge w:val="restart"/>
            <w:vAlign w:val="center"/>
          </w:tcPr>
          <w:p>
            <w:pPr>
              <w:pStyle w:val="18"/>
              <w:spacing w:beforeLines="0" w:afterLines="0" w:line="240" w:lineRule="auto"/>
              <w:ind w:left="0" w:leftChars="0" w:firstLine="0" w:firstLineChars="0"/>
              <w:jc w:val="center"/>
              <w:rPr>
                <w:sz w:val="28"/>
                <w:szCs w:val="28"/>
              </w:rPr>
            </w:pPr>
            <w:r>
              <w:rPr>
                <w:rFonts w:hint="eastAsia"/>
                <w:sz w:val="28"/>
                <w:szCs w:val="28"/>
              </w:rPr>
              <w:t>参编</w:t>
            </w:r>
          </w:p>
        </w:tc>
        <w:tc>
          <w:tcPr>
            <w:tcW w:w="1701" w:type="dxa"/>
            <w:vAlign w:val="center"/>
          </w:tcPr>
          <w:p>
            <w:pPr>
              <w:pStyle w:val="18"/>
              <w:spacing w:beforeLines="0" w:afterLines="0" w:line="240" w:lineRule="auto"/>
              <w:ind w:left="0" w:leftChars="0" w:firstLine="0" w:firstLineChars="0"/>
              <w:jc w:val="center"/>
              <w:rPr>
                <w:sz w:val="28"/>
                <w:szCs w:val="28"/>
              </w:rPr>
            </w:pPr>
            <w:r>
              <w:rPr>
                <w:rFonts w:hint="eastAsia"/>
                <w:sz w:val="28"/>
                <w:szCs w:val="28"/>
              </w:rPr>
              <w:t>学校人员</w:t>
            </w:r>
          </w:p>
        </w:tc>
        <w:tc>
          <w:tcPr>
            <w:tcW w:w="5529" w:type="dxa"/>
            <w:vAlign w:val="center"/>
          </w:tcPr>
          <w:p>
            <w:pPr>
              <w:pStyle w:val="18"/>
              <w:spacing w:beforeLines="0" w:afterLines="0" w:line="240" w:lineRule="auto"/>
              <w:ind w:left="0" w:leftChars="0" w:firstLine="0" w:firstLineChars="0"/>
              <w:rPr>
                <w:sz w:val="28"/>
                <w:szCs w:val="28"/>
              </w:rPr>
            </w:pPr>
            <w:r>
              <w:rPr>
                <w:rFonts w:hint="eastAsia"/>
                <w:sz w:val="28"/>
                <w:szCs w:val="28"/>
                <w:lang w:eastAsia="zh-CN"/>
              </w:rPr>
              <w:t>尹一涵、杨健明、梁永顺、姚帅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134" w:type="dxa"/>
            <w:vMerge w:val="continue"/>
            <w:vAlign w:val="center"/>
          </w:tcPr>
          <w:p>
            <w:pPr>
              <w:pStyle w:val="18"/>
              <w:spacing w:beforeLines="0" w:afterLines="0" w:line="240" w:lineRule="auto"/>
              <w:ind w:left="0" w:leftChars="0" w:firstLine="0" w:firstLineChars="0"/>
              <w:jc w:val="center"/>
              <w:rPr>
                <w:sz w:val="28"/>
                <w:szCs w:val="28"/>
              </w:rPr>
            </w:pPr>
          </w:p>
        </w:tc>
        <w:tc>
          <w:tcPr>
            <w:tcW w:w="1701" w:type="dxa"/>
            <w:vAlign w:val="center"/>
          </w:tcPr>
          <w:p>
            <w:pPr>
              <w:pStyle w:val="18"/>
              <w:spacing w:beforeLines="0" w:afterLines="0" w:line="240" w:lineRule="auto"/>
              <w:ind w:left="0" w:leftChars="0" w:firstLine="0" w:firstLineChars="0"/>
              <w:jc w:val="center"/>
              <w:rPr>
                <w:sz w:val="28"/>
                <w:szCs w:val="28"/>
              </w:rPr>
            </w:pPr>
            <w:r>
              <w:rPr>
                <w:rFonts w:hint="eastAsia"/>
                <w:sz w:val="28"/>
                <w:szCs w:val="28"/>
              </w:rPr>
              <w:t>企业人员</w:t>
            </w:r>
          </w:p>
        </w:tc>
        <w:tc>
          <w:tcPr>
            <w:tcW w:w="5529" w:type="dxa"/>
            <w:vAlign w:val="center"/>
          </w:tcPr>
          <w:p>
            <w:pPr>
              <w:pStyle w:val="18"/>
              <w:spacing w:beforeLines="0" w:afterLines="0" w:line="240" w:lineRule="auto"/>
              <w:ind w:left="0" w:leftChars="0" w:firstLine="0" w:firstLineChars="0"/>
              <w:rPr>
                <w:rFonts w:hint="eastAsia" w:eastAsia="宋体"/>
                <w:sz w:val="28"/>
                <w:szCs w:val="28"/>
                <w:lang w:eastAsia="zh-CN"/>
              </w:rPr>
            </w:pPr>
            <w:r>
              <w:rPr>
                <w:rFonts w:hint="eastAsia" w:eastAsia="宋体"/>
                <w:sz w:val="28"/>
                <w:szCs w:val="28"/>
                <w:lang w:eastAsia="zh-CN"/>
              </w:rPr>
              <w:t>广东职教桥数据科技有限公司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2835" w:type="dxa"/>
            <w:gridSpan w:val="2"/>
            <w:vMerge w:val="restart"/>
            <w:vAlign w:val="center"/>
          </w:tcPr>
          <w:p>
            <w:pPr>
              <w:pStyle w:val="18"/>
              <w:spacing w:beforeLines="0" w:afterLines="0" w:line="240" w:lineRule="auto"/>
              <w:ind w:left="0" w:leftChars="0" w:firstLine="0" w:firstLineChars="0"/>
              <w:jc w:val="center"/>
              <w:rPr>
                <w:sz w:val="28"/>
                <w:szCs w:val="28"/>
              </w:rPr>
            </w:pPr>
            <w:r>
              <w:rPr>
                <w:rFonts w:hint="eastAsia"/>
                <w:sz w:val="28"/>
                <w:szCs w:val="28"/>
              </w:rPr>
              <w:t>参编单位</w:t>
            </w:r>
          </w:p>
        </w:tc>
        <w:tc>
          <w:tcPr>
            <w:tcW w:w="5529" w:type="dxa"/>
            <w:vAlign w:val="center"/>
          </w:tcPr>
          <w:p>
            <w:pPr>
              <w:pStyle w:val="18"/>
              <w:spacing w:beforeLines="0" w:afterLines="0" w:line="240" w:lineRule="auto"/>
              <w:ind w:left="0" w:leftChars="0" w:firstLine="0" w:firstLineChars="0"/>
              <w:rPr>
                <w:rFonts w:hint="eastAsia" w:eastAsia="宋体"/>
                <w:sz w:val="28"/>
                <w:szCs w:val="28"/>
                <w:lang w:eastAsia="zh-CN"/>
              </w:rPr>
            </w:pPr>
            <w:r>
              <w:rPr>
                <w:rFonts w:hint="eastAsia" w:eastAsia="宋体"/>
                <w:sz w:val="28"/>
                <w:szCs w:val="28"/>
                <w:lang w:eastAsia="zh-CN"/>
              </w:rPr>
              <w:t>广东职教桥数据科技有限公司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trPr>
        <w:tc>
          <w:tcPr>
            <w:tcW w:w="2835" w:type="dxa"/>
            <w:gridSpan w:val="2"/>
            <w:vMerge w:val="continue"/>
            <w:vAlign w:val="center"/>
          </w:tcPr>
          <w:p>
            <w:pPr>
              <w:pStyle w:val="18"/>
              <w:spacing w:beforeLines="0" w:afterLines="0" w:line="240" w:lineRule="auto"/>
              <w:ind w:left="0" w:leftChars="0" w:firstLine="0" w:firstLineChars="0"/>
              <w:jc w:val="center"/>
              <w:rPr>
                <w:sz w:val="28"/>
                <w:szCs w:val="28"/>
              </w:rPr>
            </w:pPr>
          </w:p>
        </w:tc>
        <w:tc>
          <w:tcPr>
            <w:tcW w:w="5529" w:type="dxa"/>
            <w:vAlign w:val="center"/>
          </w:tcPr>
          <w:p>
            <w:pPr>
              <w:pStyle w:val="18"/>
              <w:spacing w:beforeLines="0" w:afterLines="0" w:line="240" w:lineRule="auto"/>
              <w:ind w:left="0" w:leftChars="0"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2835" w:type="dxa"/>
            <w:gridSpan w:val="2"/>
            <w:vMerge w:val="continue"/>
            <w:vAlign w:val="center"/>
          </w:tcPr>
          <w:p>
            <w:pPr>
              <w:pStyle w:val="18"/>
              <w:spacing w:beforeLines="0" w:afterLines="0" w:line="240" w:lineRule="auto"/>
              <w:ind w:left="0" w:leftChars="0" w:firstLine="0" w:firstLineChars="0"/>
              <w:jc w:val="center"/>
              <w:rPr>
                <w:sz w:val="28"/>
                <w:szCs w:val="28"/>
              </w:rPr>
            </w:pPr>
          </w:p>
        </w:tc>
        <w:tc>
          <w:tcPr>
            <w:tcW w:w="5529" w:type="dxa"/>
            <w:vAlign w:val="center"/>
          </w:tcPr>
          <w:p>
            <w:pPr>
              <w:pStyle w:val="18"/>
              <w:spacing w:beforeLines="0" w:afterLines="0" w:line="240" w:lineRule="auto"/>
              <w:ind w:left="0" w:leftChars="0" w:firstLine="0" w:firstLineChars="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rFonts w:hint="eastAsia"/>
                <w:sz w:val="28"/>
                <w:szCs w:val="28"/>
              </w:rPr>
              <w:t>教学主任审核</w:t>
            </w:r>
          </w:p>
        </w:tc>
        <w:tc>
          <w:tcPr>
            <w:tcW w:w="5529" w:type="dxa"/>
            <w:vAlign w:val="center"/>
          </w:tcPr>
          <w:p>
            <w:pPr>
              <w:pStyle w:val="13"/>
            </w:pPr>
          </w:p>
          <w:p>
            <w:pPr>
              <w:pStyle w:val="18"/>
              <w:spacing w:beforeLines="0" w:afterLines="0" w:line="360" w:lineRule="auto"/>
              <w:ind w:left="0" w:leftChars="0" w:firstLine="0" w:firstLineChars="0"/>
              <w:jc w:val="left"/>
              <w:rPr>
                <w:sz w:val="28"/>
                <w:szCs w:val="28"/>
              </w:rPr>
            </w:pPr>
            <w:r>
              <w:rPr>
                <w:rFonts w:hint="eastAsia"/>
                <w:sz w:val="28"/>
                <w:szCs w:val="28"/>
              </w:rPr>
              <w:t>签名（盖章）：</w:t>
            </w:r>
          </w:p>
          <w:p>
            <w:pPr>
              <w:pStyle w:val="13"/>
              <w:spacing w:line="360" w:lineRule="auto"/>
              <w:jc w:val="left"/>
              <w:rPr>
                <w:rFonts w:ascii="宋体"/>
                <w:spacing w:val="-4"/>
                <w:kern w:val="0"/>
                <w:sz w:val="28"/>
                <w:szCs w:val="28"/>
              </w:rPr>
            </w:pPr>
            <w:r>
              <w:rPr>
                <w:rFonts w:hint="eastAsia" w:ascii="宋体"/>
                <w:spacing w:val="-4"/>
                <w:kern w:val="0"/>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rFonts w:hint="eastAsia"/>
                <w:sz w:val="28"/>
                <w:szCs w:val="28"/>
              </w:rPr>
              <w:t>教务科审核</w:t>
            </w:r>
          </w:p>
        </w:tc>
        <w:tc>
          <w:tcPr>
            <w:tcW w:w="5529" w:type="dxa"/>
            <w:vAlign w:val="center"/>
          </w:tcPr>
          <w:p>
            <w:pPr>
              <w:pStyle w:val="18"/>
              <w:spacing w:beforeLines="0" w:afterLines="0" w:line="240" w:lineRule="auto"/>
              <w:ind w:left="0" w:leftChars="0" w:firstLine="0" w:firstLineChars="0"/>
              <w:jc w:val="left"/>
              <w:rPr>
                <w:rFonts w:hint="eastAsia"/>
                <w:sz w:val="28"/>
                <w:szCs w:val="28"/>
              </w:rPr>
            </w:pPr>
          </w:p>
          <w:p>
            <w:pPr>
              <w:pStyle w:val="18"/>
              <w:spacing w:beforeLines="0" w:afterLines="0" w:line="240" w:lineRule="auto"/>
              <w:ind w:left="0" w:leftChars="0" w:firstLine="0" w:firstLineChars="0"/>
              <w:jc w:val="left"/>
              <w:rPr>
                <w:sz w:val="28"/>
                <w:szCs w:val="28"/>
              </w:rPr>
            </w:pPr>
            <w:r>
              <w:rPr>
                <w:rFonts w:hint="eastAsia"/>
                <w:sz w:val="28"/>
                <w:szCs w:val="28"/>
              </w:rPr>
              <w:t>签名（盖章）：</w:t>
            </w:r>
          </w:p>
          <w:p>
            <w:pPr>
              <w:pStyle w:val="18"/>
              <w:spacing w:beforeLines="0" w:afterLines="0" w:line="240" w:lineRule="auto"/>
              <w:ind w:left="0" w:leftChars="0" w:firstLine="0" w:firstLineChars="0"/>
              <w:jc w:val="left"/>
              <w:rPr>
                <w:sz w:val="28"/>
                <w:szCs w:val="28"/>
              </w:rPr>
            </w:pPr>
            <w:r>
              <w:rPr>
                <w:rFonts w:hint="eastAsia"/>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trPr>
        <w:tc>
          <w:tcPr>
            <w:tcW w:w="2835" w:type="dxa"/>
            <w:gridSpan w:val="2"/>
            <w:vAlign w:val="center"/>
          </w:tcPr>
          <w:p>
            <w:pPr>
              <w:pStyle w:val="18"/>
              <w:spacing w:beforeLines="0" w:afterLines="0" w:line="240" w:lineRule="auto"/>
              <w:ind w:left="0" w:leftChars="0" w:firstLine="0" w:firstLineChars="0"/>
              <w:jc w:val="center"/>
              <w:rPr>
                <w:sz w:val="28"/>
                <w:szCs w:val="28"/>
              </w:rPr>
            </w:pPr>
            <w:r>
              <w:rPr>
                <w:rFonts w:hint="eastAsia"/>
                <w:sz w:val="28"/>
                <w:szCs w:val="28"/>
              </w:rPr>
              <w:t>教学工作指导委员会审核</w:t>
            </w:r>
          </w:p>
        </w:tc>
        <w:tc>
          <w:tcPr>
            <w:tcW w:w="5529" w:type="dxa"/>
            <w:vAlign w:val="center"/>
          </w:tcPr>
          <w:p>
            <w:pPr>
              <w:pStyle w:val="18"/>
              <w:spacing w:beforeLines="0" w:afterLines="0" w:line="240" w:lineRule="auto"/>
              <w:ind w:left="0" w:leftChars="0" w:firstLine="0" w:firstLineChars="0"/>
              <w:jc w:val="left"/>
              <w:rPr>
                <w:sz w:val="28"/>
                <w:szCs w:val="28"/>
              </w:rPr>
            </w:pPr>
            <w:r>
              <w:rPr>
                <w:rFonts w:hint="eastAsia"/>
                <w:sz w:val="28"/>
                <w:szCs w:val="28"/>
              </w:rPr>
              <w:t>签名（盖章）：</w:t>
            </w:r>
          </w:p>
          <w:p>
            <w:pPr>
              <w:pStyle w:val="18"/>
              <w:spacing w:beforeLines="0" w:afterLines="0" w:line="240" w:lineRule="auto"/>
              <w:ind w:left="0" w:leftChars="0" w:firstLine="0" w:firstLineChars="0"/>
              <w:jc w:val="left"/>
              <w:rPr>
                <w:sz w:val="28"/>
                <w:szCs w:val="28"/>
              </w:rPr>
            </w:pPr>
            <w:r>
              <w:rPr>
                <w:rFonts w:hint="eastAsia"/>
                <w:sz w:val="28"/>
                <w:szCs w:val="28"/>
              </w:rPr>
              <w:t>日期：</w:t>
            </w:r>
          </w:p>
        </w:tc>
      </w:tr>
    </w:tbl>
    <w:p>
      <w:pPr>
        <w:pStyle w:val="18"/>
        <w:spacing w:before="93" w:after="93"/>
        <w:ind w:firstLine="464"/>
        <w:sectPr>
          <w:pgSz w:w="11906" w:h="16838"/>
          <w:pgMar w:top="1440" w:right="1800" w:bottom="1440" w:left="1800" w:header="720" w:footer="720" w:gutter="0"/>
          <w:cols w:space="425" w:num="1"/>
          <w:docGrid w:type="lines" w:linePitch="312" w:charSpace="0"/>
        </w:sectPr>
      </w:pPr>
    </w:p>
    <w:sdt>
      <w:sdtPr>
        <w:rPr>
          <w:rFonts w:ascii="宋体" w:hAnsi="宋体" w:eastAsia="宋体" w:cstheme="minorBidi"/>
          <w:kern w:val="2"/>
          <w:sz w:val="21"/>
          <w:szCs w:val="24"/>
          <w:lang w:val="en-US" w:eastAsia="zh-CN" w:bidi="ar-SA"/>
        </w:rPr>
        <w:id w:val="147470071"/>
        <w15:color w:val="DBDBDB"/>
        <w:docPartObj>
          <w:docPartGallery w:val="Table of Contents"/>
          <w:docPartUnique/>
        </w:docPartObj>
      </w:sdtPr>
      <w:sdtEndPr>
        <w:rPr>
          <w:rFonts w:hint="eastAsia" w:asciiTheme="minorHAnsi" w:hAnsiTheme="minorHAnsi" w:eastAsiaTheme="minorEastAsia" w:cstheme="minorBidi"/>
          <w:b/>
          <w:bCs/>
          <w:color w:val="auto"/>
          <w:kern w:val="2"/>
          <w:sz w:val="21"/>
          <w:szCs w:val="40"/>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0"/>
            </w:rPr>
          </w:pPr>
          <w:r>
            <w:rPr>
              <w:rFonts w:ascii="宋体" w:hAnsi="宋体" w:eastAsia="宋体"/>
              <w:b/>
              <w:bCs/>
              <w:sz w:val="32"/>
              <w:szCs w:val="40"/>
            </w:rPr>
            <w:t>目录</w:t>
          </w:r>
        </w:p>
        <w:p>
          <w:pPr>
            <w:pStyle w:val="26"/>
            <w:tabs>
              <w:tab w:val="right" w:leader="dot" w:pos="8306"/>
            </w:tabs>
            <w:rPr>
              <w:b/>
            </w:rPr>
          </w:pPr>
          <w:r>
            <w:rPr>
              <w:rFonts w:hint="eastAsia"/>
              <w:b/>
              <w:bCs/>
              <w:color w:val="auto"/>
              <w:sz w:val="40"/>
              <w:szCs w:val="40"/>
              <w:lang w:val="en-US" w:eastAsia="zh-CN"/>
            </w:rPr>
            <w:fldChar w:fldCharType="begin"/>
          </w:r>
          <w:r>
            <w:rPr>
              <w:rFonts w:hint="eastAsia"/>
              <w:b/>
              <w:bCs/>
              <w:color w:val="auto"/>
              <w:sz w:val="40"/>
              <w:szCs w:val="40"/>
              <w:lang w:val="en-US" w:eastAsia="zh-CN"/>
            </w:rPr>
            <w:instrText xml:space="preserve">TOC \o "1-2" \h \u </w:instrText>
          </w:r>
          <w:r>
            <w:rPr>
              <w:rFonts w:hint="eastAsia"/>
              <w:b/>
              <w:bCs/>
              <w:color w:val="auto"/>
              <w:sz w:val="40"/>
              <w:szCs w:val="40"/>
              <w:lang w:val="en-US" w:eastAsia="zh-CN"/>
            </w:rPr>
            <w:fldChar w:fldCharType="separate"/>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_Toc5442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一、专业名称及代码</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_Toc5442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_Toc14159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二、入学要求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_Toc14159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_Toc23020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三、修业年限</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_Toc23020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_Toc15434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四、组群逻辑</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_Toc15434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_Toc24670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五、职业面向</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_Toc24670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_Toc11080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六、培养目标与规格</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_Toc11080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_Toc6924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（一）培养目标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_Toc6924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_Toc14441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（二）培养规格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_Toc14441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_Toc16323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七、升学继续专业</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_Toc16323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_Toc23318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八、课程设置及要求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_Toc23318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_Toc17902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（一）公共基础课程教学内容及要求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_Toc17902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_Toc7200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（二）专业课程教学内容及要求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_Toc7200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_Toc11719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九、教学进程总体安排</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_Toc11719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8</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_Toc29384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（一）基本要求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_Toc20947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lang w:val="en-US" w:eastAsia="zh-CN"/>
            </w:rPr>
            <w:t>（二）</w:t>
          </w:r>
          <w:r>
            <w:rPr>
              <w:rFonts w:hint="eastAsia" w:ascii="宋体" w:hAnsi="宋体" w:eastAsia="宋体" w:cs="宋体"/>
              <w:sz w:val="24"/>
              <w:szCs w:val="24"/>
              <w:highlight w:val="none"/>
              <w:lang w:val="en-US" w:eastAsia="zh-CN"/>
            </w:rPr>
            <w:t>课程</w:t>
          </w:r>
          <w:r>
            <w:rPr>
              <w:rFonts w:hint="eastAsia" w:ascii="宋体" w:hAnsi="宋体" w:eastAsia="宋体" w:cs="宋体"/>
              <w:sz w:val="24"/>
              <w:szCs w:val="24"/>
              <w:lang w:val="en-US" w:eastAsia="zh-CN"/>
            </w:rPr>
            <w:t>教学进度安排表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_Toc20947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_Toc5818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十、</w:t>
          </w:r>
          <w:r>
            <w:rPr>
              <w:rFonts w:hint="eastAsia" w:ascii="宋体" w:hAnsi="宋体" w:eastAsia="宋体" w:cs="宋体"/>
              <w:b/>
              <w:kern w:val="44"/>
              <w:sz w:val="24"/>
              <w:szCs w:val="24"/>
              <w:highlight w:val="none"/>
              <w:lang w:val="en-US" w:eastAsia="zh-CN" w:bidi="ar-SA"/>
            </w:rPr>
            <w:t>实施保障</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_Toc5818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10</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_Toc7519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（一）师资队伍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_Toc7519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_Toc22297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（二）教学设施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_Toc22297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_Toc6112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（三）教学资源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_Toc6112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_Toc18139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（四）教学实施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_Toc18139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_Toc29798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（五）学习评价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_Toc29798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sz w:val="24"/>
              <w:szCs w:val="24"/>
              <w:lang w:val="en-US" w:eastAsia="zh-CN"/>
            </w:rPr>
            <w:instrText xml:space="preserve"> HYPERLINK \l _Toc20735 </w:instrText>
          </w:r>
          <w:r>
            <w:rPr>
              <w:rFonts w:hint="eastAsia" w:ascii="宋体" w:hAnsi="宋体" w:eastAsia="宋体" w:cs="宋体"/>
              <w:bCs/>
              <w:sz w:val="24"/>
              <w:szCs w:val="24"/>
              <w:lang w:val="en-US" w:eastAsia="zh-CN"/>
            </w:rPr>
            <w:fldChar w:fldCharType="separate"/>
          </w:r>
          <w:r>
            <w:rPr>
              <w:rFonts w:hint="eastAsia" w:ascii="宋体" w:hAnsi="宋体" w:eastAsia="宋体" w:cs="宋体"/>
              <w:sz w:val="24"/>
              <w:szCs w:val="24"/>
            </w:rPr>
            <w:t>（六）质量管理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_Toc20735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color w:val="auto"/>
              <w:sz w:val="24"/>
              <w:szCs w:val="24"/>
              <w:lang w:val="en-US" w:eastAsia="zh-CN"/>
            </w:rPr>
            <w:fldChar w:fldCharType="end"/>
          </w:r>
        </w:p>
        <w:p>
          <w:pPr>
            <w:pStyle w:val="26"/>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b/>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sz w:val="24"/>
              <w:szCs w:val="24"/>
              <w:lang w:val="en-US" w:eastAsia="zh-CN"/>
            </w:rPr>
            <w:instrText xml:space="preserve"> HYPERLINK \l _Toc3451 </w:instrText>
          </w:r>
          <w:r>
            <w:rPr>
              <w:rFonts w:hint="eastAsia" w:ascii="宋体" w:hAnsi="宋体" w:eastAsia="宋体" w:cs="宋体"/>
              <w:b/>
              <w:bCs/>
              <w:sz w:val="24"/>
              <w:szCs w:val="24"/>
              <w:lang w:val="en-US" w:eastAsia="zh-CN"/>
            </w:rPr>
            <w:fldChar w:fldCharType="separate"/>
          </w:r>
          <w:r>
            <w:rPr>
              <w:rFonts w:hint="eastAsia" w:ascii="宋体" w:hAnsi="宋体" w:eastAsia="宋体" w:cs="宋体"/>
              <w:b/>
              <w:kern w:val="44"/>
              <w:sz w:val="24"/>
              <w:szCs w:val="24"/>
              <w:lang w:val="en-US" w:eastAsia="zh-CN" w:bidi="ar-SA"/>
            </w:rPr>
            <w:t>十一、毕业要求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_Toc3451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16</w:t>
          </w:r>
          <w:r>
            <w:rPr>
              <w:rFonts w:hint="eastAsia" w:ascii="宋体" w:hAnsi="宋体" w:eastAsia="宋体" w:cs="宋体"/>
              <w:b/>
              <w:sz w:val="24"/>
              <w:szCs w:val="24"/>
            </w:rPr>
            <w:fldChar w:fldCharType="end"/>
          </w:r>
          <w:r>
            <w:rPr>
              <w:rFonts w:hint="eastAsia" w:ascii="宋体" w:hAnsi="宋体" w:eastAsia="宋体" w:cs="宋体"/>
              <w:b/>
              <w:bCs/>
              <w:color w:val="auto"/>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b/>
              <w:bCs/>
              <w:color w:val="auto"/>
              <w:sz w:val="40"/>
              <w:szCs w:val="40"/>
              <w:lang w:val="en-US" w:eastAsia="zh-CN"/>
            </w:rPr>
            <w:sectPr>
              <w:pgSz w:w="11906" w:h="16838"/>
              <w:pgMar w:top="1440" w:right="1800" w:bottom="1440" w:left="1800" w:header="851" w:footer="992" w:gutter="0"/>
              <w:cols w:space="425" w:num="1"/>
              <w:docGrid w:type="lines" w:linePitch="312" w:charSpace="0"/>
            </w:sectPr>
          </w:pPr>
          <w:r>
            <w:rPr>
              <w:rFonts w:hint="eastAsia"/>
              <w:b/>
              <w:bCs/>
              <w:color w:val="auto"/>
              <w:szCs w:val="40"/>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default"/>
          <w:color w:val="auto"/>
          <w:lang w:val="en-US" w:eastAsia="zh-CN"/>
        </w:rPr>
      </w:pPr>
      <w:bookmarkStart w:id="10" w:name="_Toc11785"/>
      <w:r>
        <w:rPr>
          <w:rFonts w:hint="eastAsia"/>
          <w:b/>
          <w:bCs/>
          <w:color w:val="auto"/>
          <w:sz w:val="40"/>
          <w:szCs w:val="40"/>
          <w:lang w:val="en-US" w:eastAsia="zh-CN"/>
        </w:rPr>
        <w:t>艺术设计与制作</w:t>
      </w:r>
      <w:r>
        <w:rPr>
          <w:rFonts w:hint="eastAsia" w:asciiTheme="minorHAnsi" w:eastAsiaTheme="minorEastAsia"/>
          <w:b/>
          <w:bCs/>
          <w:color w:val="auto"/>
          <w:sz w:val="40"/>
          <w:szCs w:val="40"/>
          <w:lang w:val="en-US" w:eastAsia="zh-CN"/>
        </w:rPr>
        <w:t>专业人才培养方案</w:t>
      </w:r>
      <w:bookmarkEnd w:id="1"/>
      <w:bookmarkEnd w:id="10"/>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11" w:name="_Toc29014"/>
      <w:bookmarkStart w:id="12" w:name="_Toc5442"/>
      <w:bookmarkStart w:id="13" w:name="_Toc24625"/>
      <w:r>
        <w:rPr>
          <w:rFonts w:hint="eastAsia" w:eastAsia="黑体" w:asciiTheme="minorAscii" w:hAnsiTheme="minorAscii" w:cstheme="minorBidi"/>
          <w:b/>
          <w:color w:val="auto"/>
          <w:kern w:val="44"/>
          <w:sz w:val="30"/>
          <w:szCs w:val="24"/>
          <w:lang w:val="en-US" w:eastAsia="zh-CN" w:bidi="ar-SA"/>
        </w:rPr>
        <w:t>专业名称及代码</w:t>
      </w:r>
      <w:bookmarkEnd w:id="11"/>
      <w:bookmarkEnd w:id="12"/>
      <w:bookmarkEnd w:id="13"/>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right="0" w:firstLine="480" w:firstLineChars="200"/>
        <w:jc w:val="both"/>
        <w:textAlignment w:val="auto"/>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艺术设计与制作（750101）</w:t>
      </w:r>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14" w:name="_Toc4585"/>
      <w:bookmarkStart w:id="15" w:name="_Toc21556"/>
      <w:bookmarkStart w:id="16" w:name="_Toc14159"/>
      <w:r>
        <w:rPr>
          <w:rFonts w:hint="eastAsia" w:eastAsia="黑体" w:asciiTheme="minorAscii" w:hAnsiTheme="minorAscii" w:cstheme="minorBidi"/>
          <w:b/>
          <w:color w:val="auto"/>
          <w:kern w:val="44"/>
          <w:sz w:val="30"/>
          <w:szCs w:val="24"/>
          <w:lang w:val="en-US" w:eastAsia="zh-CN" w:bidi="ar-SA"/>
        </w:rPr>
        <w:t>入学要求</w:t>
      </w:r>
      <w:bookmarkEnd w:id="14"/>
      <w:bookmarkEnd w:id="15"/>
      <w:bookmarkEnd w:id="16"/>
    </w:p>
    <w:p>
      <w:pPr>
        <w:keepNext w:val="0"/>
        <w:keepLines w:val="0"/>
        <w:pageBreakBefore w:val="0"/>
        <w:widowControl w:val="0"/>
        <w:suppressLineNumbers w:val="0"/>
        <w:kinsoku/>
        <w:wordWrap/>
        <w:overflowPunct/>
        <w:topLinePunct w:val="0"/>
        <w:autoSpaceDE/>
        <w:autoSpaceDN/>
        <w:bidi w:val="0"/>
        <w:adjustRightInd/>
        <w:snapToGrid/>
        <w:spacing w:before="95" w:beforeLines="30" w:beforeAutospacing="0" w:after="95" w:afterLines="30" w:afterAutospacing="0" w:line="500" w:lineRule="exact"/>
        <w:ind w:left="0" w:right="0" w:firstLine="480" w:firstLineChars="200"/>
        <w:jc w:val="both"/>
        <w:textAlignment w:val="auto"/>
        <w:outlineLvl w:val="1"/>
        <w:rPr>
          <w:rFonts w:hint="eastAsia" w:ascii="宋体" w:hAnsi="宋体" w:eastAsia="宋体" w:cs="宋体"/>
          <w:color w:val="auto"/>
          <w:kern w:val="2"/>
          <w:sz w:val="24"/>
          <w:szCs w:val="22"/>
          <w:lang w:val="en-US" w:eastAsia="zh-CN" w:bidi="ar"/>
        </w:rPr>
      </w:pPr>
      <w:bookmarkStart w:id="17" w:name="_Toc23471"/>
      <w:bookmarkStart w:id="18" w:name="_Toc9182"/>
      <w:r>
        <w:rPr>
          <w:rFonts w:hint="eastAsia" w:ascii="宋体" w:hAnsi="宋体" w:eastAsia="宋体" w:cs="宋体"/>
          <w:color w:val="auto"/>
          <w:kern w:val="2"/>
          <w:sz w:val="24"/>
          <w:szCs w:val="22"/>
          <w:lang w:val="en-US" w:eastAsia="zh-CN" w:bidi="ar"/>
        </w:rPr>
        <w:t>初级中等学校毕业或具备同等学力</w:t>
      </w:r>
      <w:bookmarkEnd w:id="17"/>
      <w:bookmarkEnd w:id="18"/>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19" w:name="_Toc23020"/>
      <w:bookmarkStart w:id="20" w:name="_Toc6344"/>
      <w:bookmarkStart w:id="21" w:name="_Toc22528"/>
      <w:bookmarkStart w:id="22" w:name="_Toc7205"/>
      <w:r>
        <w:rPr>
          <w:rFonts w:hint="eastAsia" w:eastAsia="黑体" w:asciiTheme="minorAscii" w:hAnsiTheme="minorAscii" w:cstheme="minorBidi"/>
          <w:b/>
          <w:color w:val="auto"/>
          <w:kern w:val="44"/>
          <w:sz w:val="30"/>
          <w:szCs w:val="24"/>
          <w:lang w:val="en-US" w:eastAsia="zh-CN" w:bidi="ar-SA"/>
        </w:rPr>
        <w:t>修业年限</w:t>
      </w:r>
      <w:bookmarkEnd w:id="19"/>
      <w:bookmarkEnd w:id="20"/>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right="0" w:firstLine="480" w:firstLineChars="200"/>
        <w:jc w:val="both"/>
        <w:textAlignment w:val="auto"/>
        <w:rPr>
          <w:rFonts w:hint="default"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三年</w:t>
      </w:r>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23" w:name="_Toc15434"/>
      <w:r>
        <w:rPr>
          <w:rFonts w:hint="eastAsia" w:eastAsia="黑体" w:asciiTheme="minorAscii" w:hAnsiTheme="minorAscii" w:cstheme="minorBidi"/>
          <w:b/>
          <w:color w:val="auto"/>
          <w:kern w:val="44"/>
          <w:sz w:val="30"/>
          <w:szCs w:val="24"/>
          <w:lang w:val="en-US" w:eastAsia="zh-CN" w:bidi="ar-SA"/>
        </w:rPr>
        <w:t>组群逻辑</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center"/>
        <w:textAlignment w:val="auto"/>
        <w:rPr>
          <w:rFonts w:hint="default"/>
          <w:color w:val="auto"/>
          <w:highlight w:val="yellow"/>
          <w:lang w:val="en-US" w:eastAsia="zh-CN"/>
        </w:rPr>
      </w:pPr>
      <w:bookmarkStart w:id="24" w:name="_Toc7952"/>
      <w:r>
        <w:drawing>
          <wp:inline distT="0" distB="0" distL="114300" distR="114300">
            <wp:extent cx="5039995" cy="2921000"/>
            <wp:effectExtent l="9525" t="9525" r="177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039995" cy="2921000"/>
                    </a:xfrm>
                    <a:prstGeom prst="rect">
                      <a:avLst/>
                    </a:prstGeom>
                    <a:ln>
                      <a:solidFill>
                        <a:schemeClr val="tx1">
                          <a:lumMod val="95000"/>
                          <a:lumOff val="5000"/>
                        </a:schemeClr>
                      </a:solidFill>
                    </a:ln>
                  </pic:spPr>
                </pic:pic>
              </a:graphicData>
            </a:graphic>
          </wp:inline>
        </w:drawing>
      </w:r>
    </w:p>
    <w:p>
      <w:pPr>
        <w:pStyle w:val="12"/>
        <w:ind w:left="0" w:leftChars="0" w:firstLine="0" w:firstLineChars="0"/>
        <w:rPr>
          <w:rFonts w:hint="default" w:eastAsia="黑体"/>
          <w:color w:val="auto"/>
          <w:lang w:val="en-US" w:eastAsia="zh-CN"/>
        </w:rPr>
      </w:pPr>
      <w:r>
        <w:rPr>
          <w:color w:val="auto"/>
        </w:rPr>
        <w:t xml:space="preserve">图 </w:t>
      </w:r>
      <w:r>
        <w:rPr>
          <w:color w:val="auto"/>
        </w:rPr>
        <w:fldChar w:fldCharType="begin"/>
      </w:r>
      <w:r>
        <w:rPr>
          <w:color w:val="auto"/>
        </w:rPr>
        <w:instrText xml:space="preserve"> SEQ 图 \* ARABIC </w:instrText>
      </w:r>
      <w:r>
        <w:rPr>
          <w:color w:val="auto"/>
        </w:rPr>
        <w:fldChar w:fldCharType="separate"/>
      </w:r>
      <w:r>
        <w:rPr>
          <w:color w:val="auto"/>
        </w:rPr>
        <w:t>1</w:t>
      </w:r>
      <w:r>
        <w:rPr>
          <w:color w:val="auto"/>
        </w:rPr>
        <w:fldChar w:fldCharType="end"/>
      </w:r>
      <w:r>
        <w:rPr>
          <w:rFonts w:hint="eastAsia"/>
          <w:color w:val="auto"/>
          <w:lang w:val="en-US" w:eastAsia="zh-CN"/>
        </w:rPr>
        <w:t>计算机平面设计专业群组群逻辑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outlineLvl w:val="9"/>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计算机平面设计专业群以“艺术设计+文化创意”为组群思路，以商业、文化、生活对于艺术设计、文化教育的需求等为依据，对接粤港澳大湾区文化创意和设计服务产业。文化创意和设计服务产业，包括文化创意设计产业链、创意产品生产产业链、创意产品营销产业链和创意教育产业链，其中，文化创意设计产业链涵盖产品策划与制作、服装设计、平面设计、室内设计、工艺设计等环节，创意产品生产产业链涵盖服装生产、工艺品生产等环节；创意产品营销产业链涵盖市场调研、网络营销、产品推广、运营管理等环节，创意教育产业链涵盖托育教育、早教教育、幼儿保育、少儿教育等环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outlineLvl w:val="9"/>
        <w:rPr>
          <w:rFonts w:hint="default"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艺术设计与制作专业对接文化创意和设计服务产业的文化创意设计和创意产品生产领域，主要培养能够从事工艺美术产品设计、制作、营销等工作的复合型技术技能人才。</w:t>
      </w:r>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25" w:name="_Toc24670"/>
      <w:r>
        <w:rPr>
          <w:rFonts w:hint="eastAsia" w:eastAsia="黑体" w:asciiTheme="minorAscii" w:hAnsiTheme="minorAscii" w:cstheme="minorBidi"/>
          <w:b/>
          <w:color w:val="auto"/>
          <w:kern w:val="44"/>
          <w:sz w:val="30"/>
          <w:szCs w:val="24"/>
          <w:lang w:val="en-US" w:eastAsia="zh-CN" w:bidi="ar-SA"/>
        </w:rPr>
        <w:t>职业面向</w:t>
      </w:r>
      <w:bookmarkEnd w:id="24"/>
      <w:bookmarkEnd w:id="25"/>
    </w:p>
    <w:tbl>
      <w:tblPr>
        <w:tblStyle w:val="19"/>
        <w:tblW w:w="86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33"/>
        <w:gridCol w:w="5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专业</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sz w:val="20"/>
                <w:szCs w:val="20"/>
                <w:lang w:val="en-US" w:eastAsia="zh-CN"/>
              </w:rPr>
              <w:t>艺术设计与制作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所属专业大类（代码）</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文化艺术大类（75）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所属专业类（代码）</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lang w:val="en-US" w:eastAsia="zh-CN"/>
              </w:rPr>
              <w:t>艺术设计类（7501）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对应行业（代码）</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highlight w:val="none"/>
                <w:lang w:val="en-US" w:eastAsia="zh-CN"/>
              </w:rPr>
              <w:t>广告业（725）；文教、工美、体育和娱乐用品制造业（24）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主要职业类别（代码）</w:t>
            </w:r>
          </w:p>
        </w:tc>
        <w:tc>
          <w:tcPr>
            <w:tcW w:w="5329" w:type="dxa"/>
            <w:tcMar>
              <w:top w:w="0" w:type="dxa"/>
              <w:left w:w="108" w:type="dxa"/>
              <w:bottom w:w="0" w:type="dxa"/>
              <w:right w:w="108" w:type="dxa"/>
            </w:tcMar>
            <w:vAlign w:val="center"/>
          </w:tcPr>
          <w:p>
            <w:pPr>
              <w:keepNext w:val="0"/>
              <w:keepLines w:val="0"/>
              <w:pageBreakBefore w:val="0"/>
              <w:widowControl/>
              <w:suppressLineNumbers w:val="0"/>
              <w:kinsoku/>
              <w:wordWrap/>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产品设计工程技术人员</w:t>
            </w: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2-02-34-01</w:t>
            </w:r>
            <w:r>
              <w:rPr>
                <w:rFonts w:hint="eastAsia" w:ascii="宋体" w:hAnsi="宋体" w:eastAsia="宋体" w:cs="宋体"/>
                <w:sz w:val="20"/>
                <w:szCs w:val="20"/>
                <w:highlight w:val="none"/>
              </w:rPr>
              <w:t>）</w:t>
            </w:r>
            <w:r>
              <w:rPr>
                <w:rFonts w:hint="eastAsia" w:ascii="宋体" w:hAnsi="宋体" w:eastAsia="宋体" w:cs="宋体"/>
                <w:sz w:val="20"/>
                <w:szCs w:val="20"/>
                <w:highlight w:val="none"/>
                <w:lang w:eastAsia="zh-CN"/>
              </w:rPr>
              <w:t>；</w:t>
            </w:r>
          </w:p>
          <w:p>
            <w:pPr>
              <w:keepNext w:val="0"/>
              <w:keepLines w:val="0"/>
              <w:pageBreakBefore w:val="0"/>
              <w:widowControl/>
              <w:suppressLineNumbers w:val="0"/>
              <w:kinsoku/>
              <w:wordWrap/>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lang w:val="en-US" w:eastAsia="zh-CN" w:bidi="ar"/>
              </w:rPr>
              <w:t>视觉传达设计人员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0"/>
                <w:szCs w:val="20"/>
              </w:rPr>
            </w:pPr>
            <w:r>
              <w:rPr>
                <w:rFonts w:hint="eastAsia" w:ascii="宋体" w:hAnsi="宋体" w:eastAsia="宋体" w:cs="宋体"/>
                <w:bCs/>
                <w:color w:val="auto"/>
                <w:sz w:val="20"/>
                <w:szCs w:val="20"/>
                <w:highlight w:val="none"/>
                <w:lang w:val="en-US" w:eastAsia="zh-CN"/>
              </w:rPr>
              <w:t>(2-09-06-01)</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lang w:eastAsia="zh-CN"/>
              </w:rPr>
              <w:t>包装设计师（4-08-08-09）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主要岗位（群）或技术领域举例</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highlight w:val="none"/>
                <w:lang w:val="en-US" w:eastAsia="zh-CN"/>
              </w:rPr>
              <w:t>工艺美术产品设计、制作、营销等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33"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0"/>
                <w:szCs w:val="20"/>
              </w:rPr>
            </w:pPr>
            <w:r>
              <w:rPr>
                <w:rFonts w:hint="eastAsia" w:ascii="宋体" w:hAnsi="宋体" w:eastAsia="宋体" w:cs="宋体"/>
                <w:b/>
                <w:bCs w:val="0"/>
                <w:color w:val="auto"/>
                <w:sz w:val="20"/>
                <w:szCs w:val="20"/>
              </w:rPr>
              <w:t>职业类证书举例</w:t>
            </w:r>
          </w:p>
        </w:tc>
        <w:tc>
          <w:tcPr>
            <w:tcW w:w="5329" w:type="dxa"/>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0"/>
                <w:szCs w:val="20"/>
                <w:lang w:val="en-US" w:eastAsia="zh-CN"/>
              </w:rPr>
            </w:pPr>
            <w:r>
              <w:rPr>
                <w:rFonts w:hint="eastAsia" w:ascii="宋体" w:hAnsi="宋体" w:eastAsia="宋体" w:cs="宋体"/>
                <w:bCs/>
                <w:color w:val="auto"/>
                <w:sz w:val="20"/>
                <w:szCs w:val="20"/>
                <w:highlight w:val="none"/>
                <w:lang w:val="en-US" w:eastAsia="zh-CN"/>
              </w:rPr>
              <w:t>美术基础证书；全国计算机一级等级证书</w:t>
            </w:r>
          </w:p>
        </w:tc>
      </w:tr>
    </w:tbl>
    <w:p>
      <w:pPr>
        <w:keepNext/>
        <w:keepLines/>
        <w:pageBreakBefore w:val="0"/>
        <w:widowControl w:val="0"/>
        <w:numPr>
          <w:ilvl w:val="0"/>
          <w:numId w:val="2"/>
        </w:numPr>
        <w:kinsoku/>
        <w:wordWrap/>
        <w:overflowPunct/>
        <w:topLinePunct w:val="0"/>
        <w:autoSpaceDE/>
        <w:autoSpaceDN/>
        <w:bidi w:val="0"/>
        <w:adjustRightInd/>
        <w:snapToGrid/>
        <w:spacing w:before="313" w:beforeLines="100" w:beforeAutospacing="0" w:after="30" w:afterLines="30" w:afterAutospacing="0" w:line="460" w:lineRule="exact"/>
        <w:ind w:firstLine="602" w:firstLineChars="200"/>
        <w:jc w:val="both"/>
        <w:textAlignment w:val="auto"/>
        <w:outlineLvl w:val="0"/>
        <w:rPr>
          <w:rFonts w:hint="eastAsia" w:eastAsia="黑体" w:asciiTheme="minorAscii" w:hAnsiTheme="minorAscii" w:cstheme="minorBidi"/>
          <w:b/>
          <w:color w:val="auto"/>
          <w:kern w:val="44"/>
          <w:sz w:val="30"/>
          <w:szCs w:val="24"/>
          <w:lang w:val="en-US" w:eastAsia="zh-CN" w:bidi="ar-SA"/>
        </w:rPr>
      </w:pPr>
      <w:bookmarkStart w:id="26" w:name="_Toc5473"/>
      <w:bookmarkStart w:id="27" w:name="_Toc24550"/>
      <w:bookmarkStart w:id="28" w:name="_Toc11080"/>
      <w:r>
        <w:rPr>
          <w:rFonts w:hint="eastAsia" w:eastAsia="黑体" w:asciiTheme="minorAscii" w:hAnsiTheme="minorAscii" w:cstheme="minorBidi"/>
          <w:b/>
          <w:color w:val="auto"/>
          <w:kern w:val="44"/>
          <w:sz w:val="30"/>
          <w:szCs w:val="24"/>
          <w:lang w:val="en-US" w:eastAsia="zh-CN" w:bidi="ar-SA"/>
        </w:rPr>
        <w:t>培养目标</w:t>
      </w:r>
      <w:bookmarkEnd w:id="26"/>
      <w:bookmarkEnd w:id="27"/>
      <w:r>
        <w:rPr>
          <w:rFonts w:hint="eastAsia" w:eastAsia="黑体" w:asciiTheme="minorAscii" w:hAnsiTheme="minorAscii" w:cstheme="minorBidi"/>
          <w:b/>
          <w:color w:val="auto"/>
          <w:kern w:val="44"/>
          <w:sz w:val="30"/>
          <w:szCs w:val="24"/>
          <w:lang w:val="en-US" w:eastAsia="zh-CN" w:bidi="ar-SA"/>
        </w:rPr>
        <w:t>与规格</w:t>
      </w:r>
      <w:bookmarkEnd w:id="28"/>
    </w:p>
    <w:p>
      <w:pPr>
        <w:pStyle w:val="4"/>
        <w:numPr>
          <w:ilvl w:val="0"/>
          <w:numId w:val="3"/>
        </w:numPr>
        <w:bidi w:val="0"/>
        <w:ind w:left="0" w:leftChars="0" w:firstLine="420" w:firstLineChars="0"/>
        <w:rPr>
          <w:rFonts w:hint="default"/>
          <w:color w:val="auto"/>
          <w:lang w:val="en-US" w:eastAsia="zh-CN"/>
        </w:rPr>
      </w:pPr>
      <w:bookmarkStart w:id="29" w:name="_Toc27832"/>
      <w:bookmarkStart w:id="30" w:name="_Toc24927"/>
      <w:bookmarkStart w:id="31" w:name="_Toc6924"/>
      <w:r>
        <w:rPr>
          <w:rFonts w:hint="eastAsia"/>
          <w:color w:val="auto"/>
          <w:lang w:val="en-US" w:eastAsia="zh-CN"/>
        </w:rPr>
        <w:t>培养目标</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专业坚持立德树人，培养德智体美劳全面发展，掌握扎实的科学文化基础，面向文化创意和设计服务产业，掌握工艺美术产品设计与制作的相关理论与设计程序等专业知识，具备文化创意及工艺美术产品设计与制作等能力，具有工匠精神和信息素养，能够从事工艺美术产品设计、制作、营销等工作的复合型技术技能人才。</w:t>
      </w:r>
    </w:p>
    <w:p>
      <w:pPr>
        <w:pStyle w:val="4"/>
        <w:numPr>
          <w:ilvl w:val="0"/>
          <w:numId w:val="3"/>
        </w:numPr>
        <w:bidi w:val="0"/>
        <w:ind w:left="0" w:leftChars="0" w:firstLine="420" w:firstLineChars="0"/>
        <w:rPr>
          <w:rFonts w:hint="default"/>
          <w:color w:val="auto"/>
          <w:lang w:val="en-US" w:eastAsia="zh-CN"/>
        </w:rPr>
      </w:pPr>
      <w:bookmarkStart w:id="32" w:name="_Toc14441"/>
      <w:bookmarkStart w:id="33" w:name="_Toc1985"/>
      <w:r>
        <w:rPr>
          <w:rFonts w:hint="eastAsia"/>
          <w:color w:val="auto"/>
          <w:lang w:val="en-US" w:eastAsia="zh-CN"/>
        </w:rPr>
        <w:t>培养规格</w:t>
      </w:r>
      <w:bookmarkEnd w:id="32"/>
      <w:bookmarkEnd w:id="3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1.坚定拥护中国共产党领导和中国特色社会主义制度，以习近平新时代中国特色社会主义思想为指导，践行社会主义核心价值观，具有坚定的理想信念、深厚的爱国情感和中华民族自豪感；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掌握与本专业群从事职业活动相关的国家法律、行业规定，掌握知识产权、安全防护、质量管理等相关知识与技能，了解设计、制作、运营、教育等相关产业文化，遵守职业道德准则和行为规范，具备社会责任感和担当精神；</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3.掌握支撑本专业群学习和可持续发展必备的思想政治、语文、数学、英语等文化基础知识，具有良好的科学与人文素养，具备职业生涯规划能力；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4.具有良好的语言表达能力、文字表达能力、沟通合作能力，具有较强的集体意识和团队合作意识，学习一门外语并结合本专业加以运用；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5.掌握美术、艺术鉴赏、图形图像处理和摄影摄像等方面的专业基础知识；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6.具备终身学习和可持续发展的能力，具有一定的分析问题和解决问题的能力；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7.具有适应文化创意产业新业态需求的基本数字技能，掌握信息技术、办公软件应用基础知识；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8.掌握基本身体运动知识和至少1项体育运动技能，养成良好的运动习惯、卫生习惯和行为习惯；具备一定的心理调适能力；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9.掌握必备的美育知识，具有一定的文化修养、审美能力，有基本的把握时尚流行趋势的能力，会欣赏美和创造美；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10.培育劳模精神、劳动精神、工匠精神，弘扬劳动光荣、技能宝贵、创造伟大的时代精神，热爱劳动人民、珍惜劳动成果、树立劳动观念、积极投身劳动，具备与本专业职业发展相适应的劳动素养、劳动技能；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11.熟悉工艺美术产品设计、产品造型基本理论与基本知识，具备初步的艺术审美、美术鉴赏、手绘创作、数字绘画能力；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12.熟悉漆器、漆画、文创品等指定门类工艺品的设计与制作工艺过程，具备独立完成产品设计和制作的能力；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13.熟悉和应用平面、色彩、立体构成、图案纹样等基础知识，具备收集艺术创作素材、完成插画设计的能力；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14.了解市场动态生产工艺及市场流通环节，具备产品营销能力、终身学习和可持续发展的能力。</w:t>
      </w:r>
    </w:p>
    <w:p>
      <w:pPr>
        <w:keepNext/>
        <w:keepLines/>
        <w:pageBreakBefore w:val="0"/>
        <w:widowControl w:val="0"/>
        <w:numPr>
          <w:ilvl w:val="0"/>
          <w:numId w:val="2"/>
        </w:numPr>
        <w:kinsoku/>
        <w:wordWrap/>
        <w:overflowPunct/>
        <w:topLinePunct w:val="0"/>
        <w:autoSpaceDE/>
        <w:autoSpaceDN/>
        <w:bidi w:val="0"/>
        <w:adjustRightInd/>
        <w:snapToGrid/>
        <w:spacing w:before="95" w:beforeLines="30" w:beforeAutospacing="0" w:after="30" w:afterLines="30" w:afterAutospacing="0" w:line="460" w:lineRule="exact"/>
        <w:ind w:firstLine="602" w:firstLineChars="200"/>
        <w:jc w:val="both"/>
        <w:textAlignment w:val="auto"/>
        <w:outlineLvl w:val="0"/>
        <w:rPr>
          <w:rFonts w:hint="eastAsia" w:eastAsia="黑体" w:asciiTheme="minorAscii" w:hAnsiTheme="minorAscii" w:cstheme="minorBidi"/>
          <w:b/>
          <w:color w:val="auto"/>
          <w:kern w:val="44"/>
          <w:sz w:val="30"/>
          <w:szCs w:val="24"/>
          <w:lang w:val="en-US" w:eastAsia="zh-CN" w:bidi="ar-SA"/>
        </w:rPr>
      </w:pPr>
      <w:bookmarkStart w:id="34" w:name="_Toc8442"/>
      <w:bookmarkStart w:id="35" w:name="_Toc16323"/>
      <w:bookmarkStart w:id="36" w:name="_Toc4600"/>
      <w:r>
        <w:rPr>
          <w:rFonts w:hint="eastAsia" w:eastAsia="黑体" w:asciiTheme="minorAscii" w:hAnsiTheme="minorAscii" w:cstheme="minorBidi"/>
          <w:b/>
          <w:color w:val="auto"/>
          <w:kern w:val="44"/>
          <w:sz w:val="30"/>
          <w:szCs w:val="24"/>
          <w:lang w:val="en-US" w:eastAsia="zh-CN" w:bidi="ar-SA"/>
        </w:rPr>
        <w:t>升学继续专业</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接续高职专业举例：工艺美术品设计、雕刻艺术设计、陶瓷设计与工艺、刺绣设计与工艺、玉器设计与工艺、首饰设计与工艺。</w:t>
      </w:r>
    </w:p>
    <w:p>
      <w:pPr>
        <w:keepNext/>
        <w:keepLines/>
        <w:pageBreakBefore w:val="0"/>
        <w:widowControl w:val="0"/>
        <w:numPr>
          <w:ilvl w:val="0"/>
          <w:numId w:val="2"/>
        </w:numPr>
        <w:kinsoku/>
        <w:wordWrap/>
        <w:overflowPunct/>
        <w:topLinePunct w:val="0"/>
        <w:autoSpaceDE/>
        <w:autoSpaceDN/>
        <w:bidi w:val="0"/>
        <w:adjustRightInd/>
        <w:snapToGrid/>
        <w:spacing w:before="95" w:beforeLines="30" w:beforeAutospacing="0" w:after="30" w:afterLines="30" w:afterAutospacing="0" w:line="460" w:lineRule="exact"/>
        <w:ind w:firstLine="602" w:firstLineChars="200"/>
        <w:jc w:val="both"/>
        <w:textAlignment w:val="auto"/>
        <w:outlineLvl w:val="0"/>
        <w:rPr>
          <w:rFonts w:hint="eastAsia" w:eastAsia="黑体" w:asciiTheme="minorAscii" w:hAnsiTheme="minorAscii" w:cstheme="minorBidi"/>
          <w:b/>
          <w:color w:val="auto"/>
          <w:kern w:val="44"/>
          <w:sz w:val="30"/>
          <w:szCs w:val="24"/>
          <w:lang w:val="en-US" w:eastAsia="zh-CN" w:bidi="ar-SA"/>
        </w:rPr>
      </w:pPr>
      <w:bookmarkStart w:id="37" w:name="_Toc4519"/>
      <w:bookmarkStart w:id="38" w:name="_Toc19603"/>
      <w:bookmarkStart w:id="39" w:name="_Toc25813"/>
      <w:bookmarkStart w:id="40" w:name="_Toc23318"/>
      <w:r>
        <w:rPr>
          <w:rFonts w:hint="eastAsia" w:eastAsia="黑体" w:asciiTheme="minorAscii" w:hAnsiTheme="minorAscii" w:cstheme="minorBidi"/>
          <w:b/>
          <w:color w:val="auto"/>
          <w:kern w:val="44"/>
          <w:sz w:val="30"/>
          <w:szCs w:val="24"/>
          <w:lang w:val="en-US" w:eastAsia="zh-CN" w:bidi="ar-SA"/>
        </w:rPr>
        <w:t>课程设置及要求</w:t>
      </w:r>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本专业课程设置分为公共基础课程和专业课程。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公共基础课程包括根据学生全面发展需要，设置军训及入学教育、劳动与行为习惯养成教育、习近平新时代读本、中国特色社会主义、心理健康与职业生涯、哲学与人生、职业道德与法治、信息技术、历史、公共艺术（音乐）、公共艺术（美术）、体育与健康、语文、数学、英语等必修课程，还包括根据学生发展设置的中华传统文化、物理选修课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专业课程包括专业群平台课、专业基础课程、专业核心课程、专业拓展课程，并涵盖实训等有关实践性教学环节。</w:t>
      </w:r>
    </w:p>
    <w:p>
      <w:pPr>
        <w:pStyle w:val="4"/>
        <w:numPr>
          <w:ilvl w:val="0"/>
          <w:numId w:val="4"/>
        </w:numPr>
        <w:bidi w:val="0"/>
        <w:ind w:left="0" w:leftChars="0" w:firstLine="420" w:firstLineChars="0"/>
        <w:rPr>
          <w:rFonts w:hint="default"/>
          <w:color w:val="auto"/>
          <w:lang w:val="en-US" w:eastAsia="zh-CN"/>
        </w:rPr>
      </w:pPr>
      <w:bookmarkStart w:id="41" w:name="_Toc16325"/>
      <w:bookmarkStart w:id="42" w:name="_Toc17902"/>
      <w:bookmarkStart w:id="43" w:name="_Toc26889"/>
      <w:r>
        <w:rPr>
          <w:rFonts w:hint="eastAsia"/>
          <w:color w:val="auto"/>
          <w:lang w:val="en-US" w:eastAsia="zh-CN"/>
        </w:rPr>
        <w:t>公共基础课程教学内容及要求</w:t>
      </w:r>
      <w:bookmarkEnd w:id="41"/>
      <w:bookmarkEnd w:id="42"/>
      <w:bookmarkEnd w:id="43"/>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widowControl w:val="0"/>
              <w:kinsoku/>
              <w:wordWrap/>
              <w:overflowPunct/>
              <w:topLinePunct w:val="0"/>
              <w:bidi w:val="0"/>
              <w:snapToGrid/>
              <w:spacing w:line="340" w:lineRule="exact"/>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widowControl w:val="0"/>
              <w:kinsoku/>
              <w:wordWrap/>
              <w:overflowPunct/>
              <w:topLinePunct w:val="0"/>
              <w:bidi w:val="0"/>
              <w:snapToGrid/>
              <w:spacing w:line="340" w:lineRule="exact"/>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widowControl w:val="0"/>
              <w:kinsoku/>
              <w:wordWrap/>
              <w:overflowPunct/>
              <w:topLinePunct w:val="0"/>
              <w:bidi w:val="0"/>
              <w:snapToGrid/>
              <w:spacing w:line="340" w:lineRule="exact"/>
              <w:ind w:left="0" w:firstLine="0" w:firstLine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军训及入学</w:t>
            </w:r>
          </w:p>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教育</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bCs/>
                <w:sz w:val="21"/>
                <w:szCs w:val="21"/>
              </w:rPr>
              <w:t>依据中等职业学校军训及入学教育相关要求开设，通过本课程的学习，提高学生的政治觉悟，激发爱国热情，发扬革命英雄主义精神，培养艰苦奋斗</w:t>
            </w:r>
            <w:r>
              <w:rPr>
                <w:rFonts w:hint="eastAsia" w:ascii="宋体" w:hAnsi="宋体" w:eastAsia="宋体" w:cs="宋体"/>
                <w:bCs/>
                <w:sz w:val="21"/>
                <w:szCs w:val="21"/>
                <w:lang w:eastAsia="zh-CN"/>
              </w:rPr>
              <w:t>、</w:t>
            </w:r>
            <w:r>
              <w:rPr>
                <w:rFonts w:hint="eastAsia" w:ascii="宋体" w:hAnsi="宋体" w:eastAsia="宋体" w:cs="宋体"/>
                <w:bCs/>
                <w:sz w:val="21"/>
                <w:szCs w:val="21"/>
              </w:rPr>
              <w:t>刻苦耐劳的坚强毅力和集体主义精神</w:t>
            </w:r>
            <w:r>
              <w:rPr>
                <w:rFonts w:hint="eastAsia" w:ascii="宋体" w:hAnsi="宋体" w:eastAsia="宋体" w:cs="宋体"/>
                <w:bCs/>
                <w:sz w:val="21"/>
                <w:szCs w:val="21"/>
                <w:lang w:eastAsia="zh-CN"/>
              </w:rPr>
              <w:t>，</w:t>
            </w:r>
            <w:r>
              <w:rPr>
                <w:rFonts w:hint="eastAsia" w:ascii="宋体" w:hAnsi="宋体" w:eastAsia="宋体" w:cs="宋体"/>
                <w:bCs/>
                <w:sz w:val="21"/>
                <w:szCs w:val="21"/>
              </w:rPr>
              <w:t>养成良好的学风和生活作风，引导学生适应校园生活，帮助学校了解学校、了解专业、了解学习的内容和目的。</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劳动与行为</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习惯养成教育</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落实</w:t>
            </w:r>
            <w:r>
              <w:rPr>
                <w:rFonts w:hint="eastAsia" w:ascii="宋体" w:hAnsi="宋体" w:eastAsia="宋体" w:cs="宋体"/>
                <w:color w:val="auto"/>
                <w:sz w:val="21"/>
                <w:szCs w:val="21"/>
                <w:highlight w:val="none"/>
                <w:lang w:val="zh-CN"/>
              </w:rPr>
              <w:t>立德树人根本任务，</w:t>
            </w:r>
            <w:r>
              <w:rPr>
                <w:rFonts w:hint="eastAsia" w:ascii="宋体" w:hAnsi="宋体" w:eastAsia="宋体" w:cs="宋体"/>
                <w:color w:val="auto"/>
                <w:sz w:val="21"/>
                <w:szCs w:val="21"/>
                <w:highlight w:val="none"/>
                <w:lang w:val="zh-CN" w:eastAsia="zh-CN"/>
              </w:rPr>
              <w:t>学生在工农业生产过程中直接经历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习近平新时代读本</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落实</w:t>
            </w:r>
            <w:r>
              <w:rPr>
                <w:rFonts w:hint="eastAsia" w:ascii="宋体" w:hAnsi="宋体" w:eastAsia="宋体" w:cs="宋体"/>
                <w:color w:val="auto"/>
                <w:sz w:val="21"/>
                <w:szCs w:val="21"/>
                <w:highlight w:val="none"/>
                <w:lang w:val="zh-CN"/>
              </w:rPr>
              <w:t>立德树人根本任务，</w:t>
            </w:r>
            <w:r>
              <w:rPr>
                <w:rFonts w:hint="eastAsia" w:ascii="宋体" w:hAnsi="宋体" w:cs="宋体"/>
                <w:color w:val="auto"/>
                <w:sz w:val="21"/>
                <w:szCs w:val="21"/>
                <w:highlight w:val="none"/>
                <w:lang w:val="en-US" w:eastAsia="zh-CN"/>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中国特色</w:t>
            </w:r>
          </w:p>
          <w:p>
            <w:pPr>
              <w:keepNext w:val="0"/>
              <w:keepLines w:val="0"/>
              <w:pageBreakBefore w:val="0"/>
              <w:widowControl w:val="0"/>
              <w:kinsoku/>
              <w:wordWrap/>
              <w:overflowPunct/>
              <w:topLinePunct w:val="0"/>
              <w:autoSpaceDE w:val="0"/>
              <w:autoSpaceDN w:val="0"/>
              <w:bidi w:val="0"/>
              <w:adjustRightInd w:val="0"/>
              <w:snapToGrid/>
              <w:spacing w:line="330" w:lineRule="exact"/>
              <w:ind w:left="0" w:firstLine="0" w:firstLineChars="0"/>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lang w:val="zh-CN"/>
              </w:rPr>
              <w:t>社会主义</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心理健康与</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职业生涯</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哲学与人生</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职业道德与</w:t>
            </w:r>
          </w:p>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法治</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highlight w:val="none"/>
                <w:lang w:val="zh-CN"/>
              </w:rPr>
              <w:t>信息技术</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在义务教育的基础上，通过理论知识学习、基础技能训练和综合应用实践，培养学生符合时代要求的信息素养和适应职业发展需要的信息能力。</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highlight w:val="none"/>
                <w:lang w:val="zh-CN"/>
              </w:rPr>
              <w:t>历史</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落实立德树人的根本任务，通过本课程</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学习，</w:t>
            </w:r>
            <w:r>
              <w:rPr>
                <w:rFonts w:hint="eastAsia" w:ascii="宋体" w:hAnsi="宋体" w:eastAsia="宋体" w:cs="宋体"/>
                <w:color w:val="auto"/>
                <w:sz w:val="21"/>
                <w:szCs w:val="21"/>
                <w:highlight w:val="none"/>
                <w:lang w:val="en-US" w:eastAsia="zh-CN"/>
              </w:rPr>
              <w:t>使学生</w:t>
            </w:r>
            <w:r>
              <w:rPr>
                <w:rFonts w:hint="eastAsia" w:ascii="宋体" w:hAnsi="宋体" w:eastAsia="宋体" w:cs="宋体"/>
                <w:color w:val="auto"/>
                <w:sz w:val="21"/>
                <w:szCs w:val="21"/>
                <w:highlight w:val="none"/>
                <w:lang w:val="zh-CN"/>
              </w:rPr>
              <w:t>掌握必备的历史知识，形成历史学科核心素养。</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 w:val="21"/>
                <w:szCs w:val="21"/>
                <w:highlight w:val="none"/>
                <w:lang w:val="en-US" w:eastAsia="zh-CN"/>
              </w:rPr>
              <w:t>公共</w:t>
            </w:r>
            <w:r>
              <w:rPr>
                <w:rFonts w:hint="eastAsia" w:ascii="宋体" w:hAnsi="宋体" w:eastAsia="宋体" w:cs="宋体"/>
                <w:color w:val="auto"/>
                <w:sz w:val="21"/>
                <w:szCs w:val="21"/>
                <w:highlight w:val="none"/>
                <w:lang w:val="zh-CN"/>
              </w:rPr>
              <w:t>艺术</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落实立德树人根本任务，学生通过艺术鉴赏与实践等活动，发展艺术感知、审美判断、创意表达和文化理解等艺术核心素养。</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val="zh-CN"/>
              </w:rPr>
              <w:t>体育与健康</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落实立德树人的根本任务，以体育人，增强学生体质，通过本课程</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zh-CN"/>
              </w:rPr>
              <w:t>学习，帮助学生在体育锻炼中享受乐趣、增强体质、健全人格、锤炼意志，使学生在运动能力、健康行为和体育精神三方面获得全面发展。</w:t>
            </w:r>
          </w:p>
        </w:tc>
        <w:tc>
          <w:tcPr>
            <w:tcW w:w="1130" w:type="dxa"/>
            <w:vAlign w:val="center"/>
          </w:tcPr>
          <w:p>
            <w:pPr>
              <w:keepNext w:val="0"/>
              <w:keepLines w:val="0"/>
              <w:pageBreakBefore w:val="0"/>
              <w:widowControl w:val="0"/>
              <w:kinsoku/>
              <w:wordWrap/>
              <w:overflowPunct/>
              <w:topLinePunct w:val="0"/>
              <w:bidi w:val="0"/>
              <w:snapToGrid/>
              <w:spacing w:line="33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语文</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w:t>
            </w:r>
            <w:r>
              <w:rPr>
                <w:rFonts w:hint="eastAsia" w:ascii="宋体" w:hAnsi="宋体" w:eastAsia="宋体" w:cs="宋体"/>
                <w:color w:val="auto"/>
                <w:sz w:val="21"/>
                <w:szCs w:val="21"/>
                <w:highlight w:val="none"/>
                <w:lang w:val="en-US" w:eastAsia="zh-CN"/>
              </w:rPr>
              <w:t>通过本课程的学习，学生</w:t>
            </w:r>
            <w:r>
              <w:rPr>
                <w:rFonts w:hint="eastAsia" w:ascii="宋体" w:hAnsi="宋体" w:eastAsia="宋体" w:cs="宋体"/>
                <w:color w:val="auto"/>
                <w:sz w:val="21"/>
                <w:szCs w:val="21"/>
                <w:highlight w:val="none"/>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数学</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学生获得继续学习、未来工作和发展所必需的数学基础知识、基本技能、基本思想和基本活动经验，</w:t>
            </w:r>
            <w:r>
              <w:rPr>
                <w:rFonts w:hint="eastAsia" w:ascii="宋体" w:hAnsi="宋体" w:eastAsia="宋体" w:cs="宋体"/>
                <w:color w:val="auto"/>
                <w:sz w:val="21"/>
                <w:szCs w:val="21"/>
                <w:highlight w:val="none"/>
                <w:lang w:val="en-US" w:eastAsia="zh-CN"/>
              </w:rPr>
              <w:t>具备</w:t>
            </w:r>
            <w:r>
              <w:rPr>
                <w:rFonts w:hint="eastAsia" w:ascii="宋体" w:hAnsi="宋体" w:eastAsia="宋体" w:cs="宋体"/>
                <w:color w:val="auto"/>
                <w:sz w:val="21"/>
                <w:szCs w:val="21"/>
                <w:highlight w:val="none"/>
                <w:lang w:val="zh-CN"/>
              </w:rPr>
              <w:t>从数学角度发现和提出问题的能力、运用数学知识和思想方法分析和解决问题的能力。</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zh-CN"/>
              </w:rPr>
              <w:t>英语</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3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本课程</w:t>
            </w:r>
            <w:r>
              <w:rPr>
                <w:rFonts w:hint="eastAsia" w:ascii="宋体" w:hAnsi="宋体" w:eastAsia="宋体" w:cs="宋体"/>
                <w:color w:val="auto"/>
                <w:sz w:val="21"/>
                <w:szCs w:val="21"/>
                <w:highlight w:val="none"/>
                <w:lang w:val="zh-CN" w:eastAsia="zh-CN"/>
              </w:rPr>
              <w:t>是中等职业学校学生必修的一门</w:t>
            </w:r>
            <w:r>
              <w:rPr>
                <w:rFonts w:hint="eastAsia" w:ascii="宋体" w:hAnsi="宋体" w:cs="宋体"/>
                <w:color w:val="auto"/>
                <w:sz w:val="21"/>
                <w:szCs w:val="21"/>
                <w:highlight w:val="none"/>
                <w:lang w:val="en-US" w:eastAsia="zh-CN"/>
              </w:rPr>
              <w:t>公共基础课，</w:t>
            </w:r>
            <w:r>
              <w:rPr>
                <w:rFonts w:hint="eastAsia" w:ascii="宋体" w:hAnsi="宋体" w:eastAsia="宋体" w:cs="宋体"/>
                <w:color w:val="auto"/>
                <w:sz w:val="21"/>
                <w:szCs w:val="21"/>
                <w:highlight w:val="none"/>
                <w:lang w:val="zh-CN"/>
              </w:rPr>
              <w:t>落实立德树人根本任务，在义务教育的基础上，</w:t>
            </w:r>
            <w:r>
              <w:rPr>
                <w:rFonts w:hint="eastAsia" w:ascii="宋体" w:hAnsi="宋体" w:eastAsia="宋体" w:cs="宋体"/>
                <w:color w:val="auto"/>
                <w:sz w:val="21"/>
                <w:szCs w:val="21"/>
                <w:highlight w:val="none"/>
                <w:lang w:val="en-US" w:eastAsia="zh-CN"/>
              </w:rPr>
              <w:t>通过本课程的学习，</w:t>
            </w:r>
            <w:r>
              <w:rPr>
                <w:rFonts w:hint="eastAsia" w:ascii="宋体" w:hAnsi="宋体" w:eastAsia="宋体" w:cs="宋体"/>
                <w:color w:val="auto"/>
                <w:sz w:val="21"/>
                <w:szCs w:val="21"/>
                <w:highlight w:val="none"/>
                <w:lang w:val="zh-CN"/>
              </w:rPr>
              <w:t>进一步激发学生英语学习的兴趣，帮助学生掌握基础知识和基本技能，发展英语学科核心素养，为学生的职业生涯、继续学习和终身发展奠定基础。</w:t>
            </w:r>
          </w:p>
        </w:tc>
        <w:tc>
          <w:tcPr>
            <w:tcW w:w="1130" w:type="dxa"/>
            <w:vAlign w:val="center"/>
          </w:tcPr>
          <w:p>
            <w:pPr>
              <w:keepNext w:val="0"/>
              <w:keepLines w:val="0"/>
              <w:pageBreakBefore w:val="0"/>
              <w:widowControl w:val="0"/>
              <w:kinsoku/>
              <w:wordWrap/>
              <w:overflowPunct/>
              <w:topLinePunct w:val="0"/>
              <w:bidi w:val="0"/>
              <w:snapToGrid/>
              <w:spacing w:line="330" w:lineRule="exact"/>
              <w:ind w:lef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144</w:t>
            </w:r>
          </w:p>
        </w:tc>
      </w:tr>
    </w:tbl>
    <w:p>
      <w:pPr>
        <w:pStyle w:val="4"/>
        <w:numPr>
          <w:ilvl w:val="0"/>
          <w:numId w:val="4"/>
        </w:numPr>
        <w:bidi w:val="0"/>
        <w:ind w:left="0" w:leftChars="0" w:firstLine="420" w:firstLineChars="0"/>
        <w:rPr>
          <w:rFonts w:hint="default"/>
          <w:color w:val="auto"/>
          <w:lang w:val="en-US" w:eastAsia="zh-CN"/>
        </w:rPr>
      </w:pPr>
      <w:bookmarkStart w:id="44" w:name="_Toc23959"/>
      <w:bookmarkStart w:id="45" w:name="_Toc7200"/>
      <w:bookmarkStart w:id="46" w:name="_Toc9486"/>
      <w:r>
        <w:rPr>
          <w:rFonts w:hint="eastAsia"/>
          <w:color w:val="auto"/>
          <w:lang w:val="en-US" w:eastAsia="zh-CN"/>
        </w:rPr>
        <w:t>专业课程教学内容及要求</w:t>
      </w:r>
      <w:bookmarkEnd w:id="44"/>
      <w:bookmarkEnd w:id="45"/>
      <w:bookmarkEnd w:id="46"/>
    </w:p>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1.专业群平台课</w:t>
      </w:r>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美术基础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群平台</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课程的学习，学生掌握由简入繁、循序渐进的教学程序，克服素描缺少三面五调，色彩绘画因各种原因所造成的“脏、粉、灰、花、生、变色”等问题，从而能够熟练地掌握静物组合素描、水粉色彩的作品绘画。</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艺术鉴赏</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本课程属于专业群</w:t>
            </w:r>
            <w:r>
              <w:rPr>
                <w:rFonts w:hint="eastAsia" w:ascii="宋体" w:hAnsi="宋体" w:eastAsia="宋体" w:cs="宋体"/>
                <w:color w:val="auto"/>
                <w:sz w:val="21"/>
                <w:szCs w:val="21"/>
                <w:lang w:val="en-US" w:eastAsia="zh-CN"/>
              </w:rPr>
              <w:t>平台</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课程的学习，学生熟悉中外各历史时期的重要画派、画家和经典美术作品，开阔眼界，丰富知识，提高艺术审美和美术鉴赏能力，</w:t>
            </w:r>
            <w:r>
              <w:rPr>
                <w:rFonts w:hint="eastAsia" w:ascii="宋体" w:hAnsi="宋体" w:eastAsia="宋体" w:cs="宋体"/>
                <w:color w:val="auto"/>
                <w:sz w:val="21"/>
                <w:szCs w:val="21"/>
                <w:lang w:val="en-US" w:eastAsia="zh-CN"/>
              </w:rPr>
              <w:t>能</w:t>
            </w:r>
            <w:r>
              <w:rPr>
                <w:rFonts w:hint="eastAsia" w:ascii="宋体" w:hAnsi="宋体" w:eastAsia="宋体" w:cs="宋体"/>
                <w:color w:val="auto"/>
                <w:sz w:val="21"/>
                <w:szCs w:val="21"/>
                <w:lang w:val="zh-CN"/>
              </w:rPr>
              <w:t>运用自己的视觉感知、过去已经有的生活经验和文化知识对美术作品进行感受、体验、联想、分析和判断，获得审美享受，并理解美术作品与美术现象的活动，</w:t>
            </w:r>
            <w:r>
              <w:rPr>
                <w:rFonts w:hint="eastAsia" w:ascii="宋体" w:hAnsi="宋体" w:eastAsia="宋体" w:cs="宋体"/>
                <w:color w:val="auto"/>
                <w:sz w:val="21"/>
                <w:szCs w:val="21"/>
                <w:lang w:val="en-US" w:eastAsia="zh-CN"/>
              </w:rPr>
              <w:t>从而</w:t>
            </w:r>
            <w:r>
              <w:rPr>
                <w:rFonts w:hint="eastAsia" w:ascii="宋体" w:hAnsi="宋体" w:eastAsia="宋体" w:cs="宋体"/>
                <w:color w:val="auto"/>
                <w:sz w:val="21"/>
                <w:szCs w:val="21"/>
                <w:lang w:val="zh-CN"/>
              </w:rPr>
              <w:t>掌握获得审美享受、提高审美能力、陶冶情操、理解美术作品与美术现象的特殊的精神活动，也是鉴赏者能够对美术作品再创作的过程。</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图形图像基础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本课程属于专业群</w:t>
            </w:r>
            <w:r>
              <w:rPr>
                <w:rFonts w:hint="eastAsia" w:ascii="宋体" w:hAnsi="宋体" w:eastAsia="宋体" w:cs="宋体"/>
                <w:color w:val="auto"/>
                <w:sz w:val="21"/>
                <w:szCs w:val="21"/>
                <w:lang w:val="en-US" w:eastAsia="zh-CN"/>
              </w:rPr>
              <w:t>平台</w:t>
            </w:r>
            <w:r>
              <w:rPr>
                <w:rFonts w:hint="eastAsia" w:ascii="宋体" w:hAnsi="宋体" w:eastAsia="宋体" w:cs="宋体"/>
                <w:color w:val="auto"/>
                <w:sz w:val="21"/>
                <w:szCs w:val="21"/>
                <w:lang w:val="zh-CN"/>
              </w:rPr>
              <w:t>课，</w:t>
            </w:r>
            <w:r>
              <w:rPr>
                <w:rFonts w:hint="eastAsia" w:ascii="宋体" w:hAnsi="宋体" w:eastAsia="宋体" w:cs="宋体"/>
                <w:i w:val="0"/>
                <w:iCs w:val="0"/>
                <w:color w:val="000000"/>
                <w:kern w:val="0"/>
                <w:sz w:val="21"/>
                <w:szCs w:val="21"/>
                <w:u w:val="none"/>
                <w:lang w:val="en-US" w:eastAsia="zh-CN" w:bidi="ar"/>
              </w:rPr>
              <w:t>通过本课程的学习，学生能熟悉图形图像处理的基本方法，全面掌握Photoshop操作应用的各个知识点及在平面设计中的应用，结合网络营销的策划需求，熟练对图片进行简单的加工处理，并且进行一定的创意设计。</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影像技术基础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本课程属于专业群</w:t>
            </w:r>
            <w:r>
              <w:rPr>
                <w:rFonts w:hint="eastAsia" w:ascii="宋体" w:hAnsi="宋体" w:eastAsia="宋体" w:cs="宋体"/>
                <w:color w:val="auto"/>
                <w:sz w:val="21"/>
                <w:szCs w:val="21"/>
                <w:lang w:val="en-US" w:eastAsia="zh-CN"/>
              </w:rPr>
              <w:t>平台</w:t>
            </w:r>
            <w:r>
              <w:rPr>
                <w:rFonts w:hint="eastAsia" w:ascii="宋体" w:hAnsi="宋体" w:eastAsia="宋体" w:cs="宋体"/>
                <w:color w:val="auto"/>
                <w:sz w:val="21"/>
                <w:szCs w:val="21"/>
                <w:lang w:val="zh-CN"/>
              </w:rPr>
              <w:t>课，</w:t>
            </w:r>
            <w:r>
              <w:rPr>
                <w:rFonts w:hint="eastAsia" w:ascii="宋体" w:hAnsi="宋体" w:eastAsia="宋体" w:cs="宋体"/>
                <w:i w:val="0"/>
                <w:iCs w:val="0"/>
                <w:color w:val="000000"/>
                <w:kern w:val="0"/>
                <w:sz w:val="21"/>
                <w:szCs w:val="21"/>
                <w:u w:val="none"/>
                <w:lang w:val="en-US" w:eastAsia="zh-CN" w:bidi="ar"/>
              </w:rPr>
              <w:t>通过本课程的学习，</w:t>
            </w:r>
            <w:r>
              <w:rPr>
                <w:rFonts w:hint="eastAsia" w:ascii="宋体" w:hAnsi="宋体" w:eastAsia="宋体" w:cs="宋体"/>
                <w:color w:val="auto"/>
                <w:sz w:val="21"/>
                <w:szCs w:val="21"/>
                <w:lang w:val="zh-CN"/>
              </w:rPr>
              <w:t>学生了解摄影与摄影设备的基本知识，掌握构图、采光、取景及后期制作等技能，可以独立完成景物、人物的拍摄，并具有一定的审美价值。</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2.专业基础课</w:t>
      </w:r>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设计构成</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420" w:firstLineChars="20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lang w:val="zh-CN"/>
              </w:rPr>
              <w:t>本课程属于专业基础课，通过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学生掌握</w:t>
            </w:r>
            <w:r>
              <w:rPr>
                <w:rFonts w:hint="eastAsia" w:ascii="宋体" w:hAnsi="宋体" w:eastAsia="宋体" w:cs="宋体"/>
                <w:color w:val="auto"/>
                <w:sz w:val="21"/>
                <w:szCs w:val="21"/>
                <w:lang w:val="zh-CN"/>
              </w:rPr>
              <w:t>本课程主要学习平面构成、色彩构成、立体构成，讲解平面形态的构成原理和方法；色彩的基础理论、基本属性和色彩混合构成原理和方法的相关知识；按立体构成原则组合成美好的形体的构成方法，</w:t>
            </w:r>
            <w:r>
              <w:rPr>
                <w:rFonts w:hint="eastAsia" w:ascii="宋体" w:hAnsi="宋体" w:eastAsia="宋体" w:cs="宋体"/>
                <w:color w:val="auto"/>
                <w:sz w:val="21"/>
                <w:szCs w:val="21"/>
                <w:lang w:val="en-US" w:eastAsia="zh-CN"/>
              </w:rPr>
              <w:t>从而具备</w:t>
            </w:r>
            <w:r>
              <w:rPr>
                <w:rFonts w:hint="eastAsia" w:ascii="宋体" w:hAnsi="宋体" w:eastAsia="宋体" w:cs="宋体"/>
                <w:color w:val="auto"/>
                <w:sz w:val="21"/>
                <w:szCs w:val="21"/>
                <w:lang w:val="zh-CN"/>
              </w:rPr>
              <w:t>艺术审美能力、艺术造型能力、色彩想象力、研究立体造型各元素的构成法则，</w:t>
            </w:r>
            <w:r>
              <w:rPr>
                <w:rFonts w:hint="eastAsia" w:ascii="宋体" w:hAnsi="宋体" w:eastAsia="宋体" w:cs="宋体"/>
                <w:color w:val="auto"/>
                <w:sz w:val="21"/>
                <w:szCs w:val="21"/>
                <w:lang w:val="en-US" w:eastAsia="zh-CN"/>
              </w:rPr>
              <w:t>具备</w:t>
            </w:r>
            <w:r>
              <w:rPr>
                <w:rFonts w:hint="eastAsia" w:ascii="宋体" w:hAnsi="宋体" w:eastAsia="宋体" w:cs="宋体"/>
                <w:color w:val="auto"/>
                <w:sz w:val="21"/>
                <w:szCs w:val="21"/>
                <w:lang w:val="zh-CN"/>
              </w:rPr>
              <w:t>构成知识的使用技能，为后续专业核心课程的学习打下良好基础。</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1"/>
                <w:szCs w:val="21"/>
                <w:u w:val="none"/>
                <w:lang w:val="en-US" w:eastAsia="zh-CN" w:bidi="ar"/>
              </w:rPr>
              <w:t>设计美术基础</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420" w:firstLineChars="20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lang w:val="zh-CN"/>
              </w:rPr>
              <w:t>本课程属于专业基础课，通过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学生能掌握</w:t>
            </w:r>
            <w:r>
              <w:rPr>
                <w:rFonts w:hint="eastAsia" w:ascii="宋体" w:hAnsi="宋体" w:eastAsia="宋体" w:cs="宋体"/>
                <w:color w:val="auto"/>
                <w:sz w:val="21"/>
                <w:szCs w:val="21"/>
                <w:lang w:val="zh-CN"/>
              </w:rPr>
              <w:t>静物的色彩、质感的表现与光影之间的联系，</w:t>
            </w:r>
            <w:r>
              <w:rPr>
                <w:rFonts w:hint="eastAsia" w:ascii="宋体" w:hAnsi="宋体" w:eastAsia="宋体" w:cs="宋体"/>
                <w:color w:val="auto"/>
                <w:sz w:val="21"/>
                <w:szCs w:val="21"/>
                <w:lang w:val="en-US" w:eastAsia="zh-CN"/>
              </w:rPr>
              <w:t>会</w:t>
            </w:r>
            <w:r>
              <w:rPr>
                <w:rFonts w:hint="eastAsia" w:ascii="宋体" w:hAnsi="宋体" w:eastAsia="宋体" w:cs="宋体"/>
                <w:color w:val="auto"/>
                <w:sz w:val="21"/>
                <w:szCs w:val="21"/>
                <w:lang w:val="zh-CN"/>
              </w:rPr>
              <w:t>观察静物本身在不同的光照下</w:t>
            </w:r>
            <w:r>
              <w:rPr>
                <w:rFonts w:hint="eastAsia" w:ascii="宋体" w:hAnsi="宋体" w:cs="宋体"/>
                <w:color w:val="auto"/>
                <w:sz w:val="21"/>
                <w:szCs w:val="21"/>
                <w:lang w:val="en-US" w:eastAsia="zh-CN"/>
              </w:rPr>
              <w:t>所</w:t>
            </w:r>
            <w:r>
              <w:rPr>
                <w:rFonts w:hint="eastAsia" w:ascii="宋体" w:hAnsi="宋体" w:eastAsia="宋体" w:cs="宋体"/>
                <w:color w:val="auto"/>
                <w:sz w:val="21"/>
                <w:szCs w:val="21"/>
                <w:lang w:val="zh-CN"/>
              </w:rPr>
              <w:t>呈现出来的色彩、质地等特质，取得较好的素描和色彩表现效果，从而能够熟练地掌握静物组合素描、水粉色彩的作品绘画，</w:t>
            </w:r>
            <w:r>
              <w:rPr>
                <w:rFonts w:hint="eastAsia" w:ascii="宋体" w:hAnsi="宋体" w:cs="宋体"/>
                <w:color w:val="auto"/>
                <w:sz w:val="21"/>
                <w:szCs w:val="21"/>
                <w:lang w:val="en-US" w:eastAsia="zh-CN"/>
              </w:rPr>
              <w:t>具备</w:t>
            </w:r>
            <w:r>
              <w:rPr>
                <w:rFonts w:hint="eastAsia" w:ascii="宋体" w:hAnsi="宋体" w:eastAsia="宋体" w:cs="宋体"/>
                <w:color w:val="auto"/>
                <w:sz w:val="21"/>
                <w:szCs w:val="21"/>
                <w:lang w:val="zh-CN"/>
              </w:rPr>
              <w:t>动手能力、思考能力和解决问题的能力，锻炼学生创新精神。</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18</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3.专业核心课</w:t>
      </w:r>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5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漆画设计与</w:t>
            </w:r>
          </w:p>
          <w:p>
            <w:pPr>
              <w:keepNext w:val="0"/>
              <w:keepLines w:val="0"/>
              <w:pageBreakBefore w:val="0"/>
              <w:widowControl/>
              <w:suppressLineNumbers w:val="0"/>
              <w:kinsoku/>
              <w:wordWrap/>
              <w:overflowPunct/>
              <w:topLinePunct w:val="0"/>
              <w:bidi w:val="0"/>
              <w:snapToGrid/>
              <w:spacing w:line="35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制作</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5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本课程学习，加强学生对漆艺术表现方式和精神内涵的理解，加深对于漆艺术的理解和对漆材料的把握，学生从掌握漆工艺，过渡到自主使用漆工艺进行漆画创作。学生能够独立完成漆画设计过程中的素材整理、设计构思、图纸分析等各环节的学习任务，以及完成漆画制作过程中的材料准备、清理画板、制作漆板、拷贝画稿、技法起纹、罩漆、研磨、画面调整、推光等各环节的学习任务。</w:t>
            </w:r>
          </w:p>
        </w:tc>
        <w:tc>
          <w:tcPr>
            <w:tcW w:w="1130" w:type="dxa"/>
            <w:vAlign w:val="center"/>
          </w:tcPr>
          <w:p>
            <w:pPr>
              <w:keepNext w:val="0"/>
              <w:keepLines w:val="0"/>
              <w:pageBreakBefore w:val="0"/>
              <w:widowControl/>
              <w:suppressLineNumbers w:val="0"/>
              <w:kinsoku/>
              <w:wordWrap/>
              <w:overflowPunct/>
              <w:topLinePunct w:val="0"/>
              <w:bidi w:val="0"/>
              <w:snapToGrid/>
              <w:spacing w:line="350" w:lineRule="exact"/>
              <w:ind w:firstLine="0" w:firstLineChars="0"/>
              <w:jc w:val="center"/>
              <w:textAlignment w:val="center"/>
              <w:rPr>
                <w:rFonts w:hint="default" w:ascii="宋体" w:hAnsi="宋体" w:cs="宋体" w:eastAsiaTheme="minorEastAsia"/>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5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漆器设计与</w:t>
            </w:r>
          </w:p>
          <w:p>
            <w:pPr>
              <w:keepNext w:val="0"/>
              <w:keepLines w:val="0"/>
              <w:pageBreakBefore w:val="0"/>
              <w:widowControl/>
              <w:suppressLineNumbers w:val="0"/>
              <w:kinsoku/>
              <w:wordWrap/>
              <w:overflowPunct/>
              <w:topLinePunct w:val="0"/>
              <w:bidi w:val="0"/>
              <w:snapToGrid/>
              <w:spacing w:line="35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制作</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5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本课程学习，加强学生对漆艺术表现方式和精神内涵的理解，加深对于漆艺术的理解和对漆材料的把握，学生从掌握漆工艺，过渡到自主使用漆工艺进行漆器创作。学生能够独立完成漆器设计过程中的图纸分析、材料准备、设计需求分析、设计主题确定等各环节的学习任务，以及完成漆器制作过程中的需求分析、选择胎体、选择漆材料、漆灰的施工、油漆涂刷、漆器装饰等各环节的学习任务。</w:t>
            </w:r>
          </w:p>
        </w:tc>
        <w:tc>
          <w:tcPr>
            <w:tcW w:w="1130" w:type="dxa"/>
            <w:vAlign w:val="center"/>
          </w:tcPr>
          <w:p>
            <w:pPr>
              <w:keepNext w:val="0"/>
              <w:keepLines w:val="0"/>
              <w:pageBreakBefore w:val="0"/>
              <w:widowControl/>
              <w:suppressLineNumbers w:val="0"/>
              <w:kinsoku/>
              <w:wordWrap/>
              <w:overflowPunct/>
              <w:topLinePunct w:val="0"/>
              <w:bidi w:val="0"/>
              <w:snapToGrid/>
              <w:spacing w:line="350" w:lineRule="exact"/>
              <w:ind w:firstLine="0" w:firstLineChars="0"/>
              <w:jc w:val="center"/>
              <w:textAlignment w:val="center"/>
              <w:rPr>
                <w:rFonts w:hint="default" w:ascii="宋体" w:hAnsi="宋体" w:cs="宋体" w:eastAsiaTheme="minorEastAsia"/>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图案纹样设计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420" w:firstLineChars="200"/>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学生掌握图案纹样的专业理论知识，设计表现技法，学生能够运用图案纹样设计方法解决工艺品设计中的问题，培养具备传承精神的工艺品设计人才。</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cs="宋体" w:eastAsiaTheme="minorEastAsia"/>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工艺绘画</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420" w:firstLineChars="200"/>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使学生了解工艺绘画简史、工艺绘画的类型和艺术特点、工艺绘画行业规范与政策法规，学生能够临摹优秀工艺绘画作品，绘制简单的工艺绘画、插画作品，提高审美能力。</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插画设计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学生掌握PS、AI等绘图软件在插画设计中的使用方法、插画创作的一般规律、构图方法和常见插画风格及应用，能完成插画系列作品。</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cs="宋体" w:eastAsiaTheme="minorEastAsia"/>
                <w:color w:val="auto"/>
                <w:sz w:val="21"/>
                <w:szCs w:val="21"/>
                <w:lang w:val="en-US" w:eastAsia="zh-CN"/>
              </w:rPr>
            </w:pPr>
            <w:r>
              <w:rPr>
                <w:rFonts w:hint="eastAsia" w:ascii="宋体" w:hAnsi="宋体" w:cs="宋体" w:eastAsiaTheme="minorEastAsia"/>
                <w:color w:val="auto"/>
                <w:sz w:val="21"/>
                <w:szCs w:val="21"/>
                <w:lang w:val="en-US" w:eastAsia="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旅游纪念品</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设计</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本课程属于专业</w:t>
            </w:r>
            <w:r>
              <w:rPr>
                <w:rFonts w:hint="eastAsia" w:ascii="宋体" w:hAnsi="宋体" w:eastAsia="宋体" w:cs="宋体"/>
                <w:color w:val="auto"/>
                <w:sz w:val="21"/>
                <w:szCs w:val="21"/>
                <w:lang w:val="en-US" w:eastAsia="zh-CN"/>
              </w:rPr>
              <w:t>核心</w:t>
            </w:r>
            <w:r>
              <w:rPr>
                <w:rFonts w:hint="eastAsia" w:ascii="宋体" w:hAnsi="宋体" w:eastAsia="宋体" w:cs="宋体"/>
                <w:color w:val="auto"/>
                <w:sz w:val="21"/>
                <w:szCs w:val="21"/>
                <w:lang w:val="zh-CN"/>
              </w:rPr>
              <w:t>课，通过</w:t>
            </w:r>
            <w:r>
              <w:rPr>
                <w:rFonts w:hint="eastAsia" w:ascii="宋体" w:hAnsi="宋体" w:eastAsia="宋体" w:cs="宋体"/>
                <w:color w:val="auto"/>
                <w:sz w:val="21"/>
                <w:szCs w:val="21"/>
                <w:lang w:val="en-US" w:eastAsia="zh-CN"/>
              </w:rPr>
              <w:t>本</w:t>
            </w:r>
            <w:r>
              <w:rPr>
                <w:rFonts w:hint="eastAsia" w:ascii="宋体" w:hAnsi="宋体" w:eastAsia="宋体" w:cs="宋体"/>
                <w:color w:val="auto"/>
                <w:sz w:val="21"/>
                <w:szCs w:val="21"/>
                <w:lang w:val="zh-CN"/>
              </w:rPr>
              <w:t>课程的学习，</w:t>
            </w:r>
            <w:r>
              <w:rPr>
                <w:rFonts w:hint="eastAsia" w:ascii="宋体" w:hAnsi="宋体" w:eastAsia="宋体" w:cs="宋体"/>
                <w:color w:val="auto"/>
                <w:sz w:val="21"/>
                <w:szCs w:val="21"/>
                <w:lang w:val="en-US" w:eastAsia="zh-CN"/>
              </w:rPr>
              <w:t>学生能了解本区域旅游纪念品的发展现状、行业规范和政策法规，综合运用各种材料，熟悉材料特性，完成旅游纪念品的设计和掌握旅游纪念品的制作。</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cs="宋体" w:eastAsiaTheme="minorEastAsia"/>
                <w:color w:val="auto"/>
                <w:sz w:val="21"/>
                <w:szCs w:val="21"/>
                <w:lang w:val="en-US" w:eastAsia="zh-CN"/>
              </w:rPr>
            </w:pPr>
            <w:r>
              <w:rPr>
                <w:rFonts w:hint="eastAsia" w:ascii="宋体" w:hAnsi="宋体" w:cs="宋体" w:eastAsiaTheme="minorEastAsia"/>
                <w:color w:val="auto"/>
                <w:sz w:val="21"/>
                <w:szCs w:val="21"/>
                <w:lang w:val="en-US" w:eastAsia="zh-CN"/>
              </w:rPr>
              <w:t>36</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4.专业拓展课</w:t>
      </w:r>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ind w:firstLine="0" w:firstLineChars="0"/>
              <w:jc w:val="center"/>
              <w:rPr>
                <w:rFonts w:ascii="宋体" w:hAnsi="宋体"/>
                <w:b/>
                <w:color w:val="auto"/>
                <w:sz w:val="21"/>
                <w:szCs w:val="21"/>
              </w:rPr>
            </w:pPr>
            <w:r>
              <w:rPr>
                <w:rFonts w:hint="eastAsia" w:ascii="宋体" w:hAnsi="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文案设计与</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撰写</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sz w:val="21"/>
                <w:szCs w:val="21"/>
                <w:lang w:val="en-US" w:eastAsia="zh-CN"/>
              </w:rPr>
              <w:t>本</w:t>
            </w:r>
            <w:r>
              <w:rPr>
                <w:rFonts w:hint="eastAsia" w:ascii="宋体" w:hAnsi="宋体" w:eastAsia="宋体" w:cs="宋体"/>
                <w:sz w:val="21"/>
                <w:szCs w:val="21"/>
              </w:rPr>
              <w:t>课程属于专业</w:t>
            </w:r>
            <w:r>
              <w:rPr>
                <w:rFonts w:hint="eastAsia" w:ascii="宋体" w:hAnsi="宋体" w:eastAsia="宋体" w:cs="宋体"/>
                <w:color w:val="auto"/>
                <w:sz w:val="21"/>
                <w:szCs w:val="21"/>
                <w:lang w:val="en-US" w:eastAsia="zh-CN"/>
              </w:rPr>
              <w:t>群拓展课</w:t>
            </w:r>
            <w:r>
              <w:rPr>
                <w:rFonts w:hint="eastAsia" w:ascii="宋体" w:hAnsi="宋体" w:eastAsia="宋体" w:cs="宋体"/>
                <w:sz w:val="21"/>
                <w:szCs w:val="21"/>
              </w:rPr>
              <w:t>，</w:t>
            </w:r>
            <w:r>
              <w:rPr>
                <w:rFonts w:hint="eastAsia" w:ascii="宋体" w:hAnsi="宋体" w:eastAsia="宋体" w:cs="宋体"/>
                <w:sz w:val="21"/>
                <w:szCs w:val="21"/>
                <w:lang w:val="en-US" w:eastAsia="zh-CN"/>
              </w:rPr>
              <w:t>通过本课程的学习，学生掌握</w:t>
            </w:r>
            <w:r>
              <w:rPr>
                <w:rFonts w:hint="eastAsia" w:ascii="宋体" w:hAnsi="宋体" w:eastAsia="宋体" w:cs="宋体"/>
                <w:i w:val="0"/>
                <w:iCs w:val="0"/>
                <w:color w:val="auto"/>
                <w:kern w:val="0"/>
                <w:sz w:val="21"/>
                <w:szCs w:val="21"/>
                <w:u w:val="none"/>
                <w:lang w:val="en-US" w:eastAsia="zh-CN" w:bidi="ar"/>
              </w:rPr>
              <w:t>软文营销的基本概念、软文的类型、标题和正文的设计方法，软文的创意、写作技巧和方法，从而能够根据企业营销的策略，针对消费者在购物过程中的购买心理，结合产品特征撰写推广信息与宣传软文。</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i w:val="0"/>
                <w:iCs w:val="0"/>
                <w:color w:val="000000"/>
                <w:kern w:val="0"/>
                <w:sz w:val="21"/>
                <w:szCs w:val="21"/>
                <w:u w:val="none"/>
                <w:lang w:val="en-US" w:eastAsia="zh-CN" w:bidi="ar"/>
              </w:rPr>
              <w:t>72</w:t>
            </w:r>
            <w:r>
              <w:rPr>
                <w:rFonts w:hint="eastAsia" w:ascii="宋体" w:hAnsi="宋体" w:eastAsia="宋体" w:cs="宋体"/>
                <w:i w:val="0"/>
                <w:iCs w:val="0"/>
                <w:color w:val="000000"/>
                <w:kern w:val="0"/>
                <w:sz w:val="21"/>
                <w:szCs w:val="21"/>
                <w:u w:val="none"/>
                <w:lang w:val="en-US" w:eastAsia="zh-CN" w:bidi="ar"/>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传统文化传承</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课程属于专业群拓展课，通过本课程的学习，学生可以了解传统文化的基本内容和特点，感受传统文化丰富的思想内涵和艺术魅力，从而认识传统文化的博大精深，拓宽学生的认知领域、情感领域和实践领域，为学生的健康成长奠定坚实的基础，逐步提高学生的人文素养和对传统文化经典的感悟能力。</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i w:val="0"/>
                <w:iCs w:val="0"/>
                <w:color w:val="000000"/>
                <w:kern w:val="0"/>
                <w:sz w:val="21"/>
                <w:szCs w:val="21"/>
                <w:u w:val="none"/>
                <w:lang w:val="en-US" w:eastAsia="zh-CN" w:bidi="ar"/>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营销策划与</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品牌推广</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snapToGrid w:val="0"/>
                <w:kern w:val="0"/>
                <w:sz w:val="21"/>
                <w:szCs w:val="21"/>
                <w:lang w:val="en-US" w:eastAsia="zh-CN" w:bidi="zh-CN"/>
              </w:rPr>
              <w:t>本课程属于专业群拓展课，通过本课程的学习，学生了解推销的基本理论和基本策略技巧，掌握人员推销和网络推销的基本程序流程、方法、技巧和策略，具有寻找潜在顾客和接近顾客的能力，能做好推销各环节的准备工作，形成实际推销能力，树立职业道德意识和学会立业创业的本领。</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cs="宋体"/>
                <w:i w:val="0"/>
                <w:iCs w:val="0"/>
                <w:color w:val="000000"/>
                <w:kern w:val="0"/>
                <w:sz w:val="21"/>
                <w:szCs w:val="21"/>
                <w:u w:val="none"/>
                <w:lang w:val="en-US" w:eastAsia="zh-CN" w:bidi="ar"/>
              </w:rPr>
              <w:t>90-</w:t>
            </w:r>
            <w:r>
              <w:rPr>
                <w:rFonts w:hint="eastAsia" w:ascii="宋体" w:hAnsi="宋体" w:eastAsia="宋体" w:cs="宋体"/>
                <w:i w:val="0"/>
                <w:iCs w:val="0"/>
                <w:color w:val="000000"/>
                <w:kern w:val="0"/>
                <w:sz w:val="21"/>
                <w:szCs w:val="21"/>
                <w:u w:val="none"/>
                <w:lang w:val="en-US" w:eastAsia="zh-CN" w:bidi="ar"/>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591"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沟通礼仪与</w:t>
            </w:r>
          </w:p>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eastAsia" w:ascii="宋体" w:hAnsi="宋体" w:eastAsia="宋体" w:cs="宋体"/>
                <w:i w:val="0"/>
                <w:iCs w:val="0"/>
                <w:color w:val="000000"/>
                <w:kern w:val="0"/>
                <w:sz w:val="21"/>
                <w:szCs w:val="21"/>
                <w:u w:val="none"/>
                <w:lang w:val="zh-CN" w:eastAsia="zh-CN" w:bidi="ar"/>
              </w:rPr>
            </w:pPr>
            <w:r>
              <w:rPr>
                <w:rFonts w:hint="eastAsia" w:ascii="宋体" w:hAnsi="宋体" w:eastAsia="宋体" w:cs="宋体"/>
                <w:i w:val="0"/>
                <w:iCs w:val="0"/>
                <w:color w:val="000000"/>
                <w:kern w:val="0"/>
                <w:sz w:val="21"/>
                <w:szCs w:val="21"/>
                <w:u w:val="none"/>
                <w:lang w:val="en-US" w:eastAsia="zh-CN" w:bidi="ar"/>
              </w:rPr>
              <w:t>技巧</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snapToGrid w:val="0"/>
                <w:kern w:val="0"/>
                <w:sz w:val="21"/>
                <w:szCs w:val="21"/>
                <w:lang w:val="en-US" w:eastAsia="zh-CN" w:bidi="zh-CN"/>
              </w:rPr>
              <w:t>本课程属于专业群拓展课，通过本课程的学习，</w:t>
            </w:r>
            <w:r>
              <w:rPr>
                <w:rFonts w:hint="eastAsia" w:ascii="宋体" w:hAnsi="宋体" w:cs="宋体"/>
                <w:snapToGrid w:val="0"/>
                <w:kern w:val="0"/>
                <w:sz w:val="21"/>
                <w:szCs w:val="21"/>
                <w:lang w:val="en-US" w:eastAsia="zh-CN" w:bidi="zh-CN"/>
              </w:rPr>
              <w:t>加深</w:t>
            </w:r>
            <w:r>
              <w:rPr>
                <w:rFonts w:hint="eastAsia" w:ascii="宋体" w:hAnsi="宋体" w:eastAsia="宋体" w:cs="宋体"/>
                <w:color w:val="auto"/>
                <w:sz w:val="21"/>
                <w:szCs w:val="21"/>
                <w:lang w:val="zh-CN"/>
              </w:rPr>
              <w:t>学生对沟通与礼仪的重要性的认识，了解沟通的基本技巧、方法，仪容、仪表、仪态礼仪、交际礼仪的方法和技巧，掌握沟通与礼仪的基本原理，熟练运用沟通与礼仪的知识、技巧和原理，提升人际交往的素养，</w:t>
            </w:r>
            <w:r>
              <w:rPr>
                <w:rFonts w:hint="eastAsia" w:ascii="宋体" w:hAnsi="宋体" w:eastAsia="宋体" w:cs="宋体"/>
                <w:color w:val="auto"/>
                <w:sz w:val="21"/>
                <w:szCs w:val="21"/>
                <w:lang w:val="en-US" w:eastAsia="zh-CN"/>
              </w:rPr>
              <w:t>从而</w:t>
            </w:r>
            <w:r>
              <w:rPr>
                <w:rFonts w:hint="eastAsia" w:ascii="宋体" w:hAnsi="宋体" w:eastAsia="宋体" w:cs="宋体"/>
                <w:color w:val="auto"/>
                <w:sz w:val="21"/>
                <w:szCs w:val="21"/>
                <w:lang w:val="zh-CN"/>
              </w:rPr>
              <w:t>全方位打造学生的沟通技能、交际技能、提升礼仪和素质，帮助大学生实现从“大学生”到“社会人”和“职业人”的转变。</w:t>
            </w:r>
          </w:p>
        </w:tc>
        <w:tc>
          <w:tcPr>
            <w:tcW w:w="1130" w:type="dxa"/>
            <w:vAlign w:val="center"/>
          </w:tcPr>
          <w:p>
            <w:pPr>
              <w:keepNext w:val="0"/>
              <w:keepLines w:val="0"/>
              <w:pageBreakBefore w:val="0"/>
              <w:widowControl/>
              <w:suppressLineNumbers w:val="0"/>
              <w:kinsoku/>
              <w:wordWrap/>
              <w:overflowPunct/>
              <w:topLinePunct w:val="0"/>
              <w:bidi w:val="0"/>
              <w:snapToGrid/>
              <w:spacing w:line="340" w:lineRule="exact"/>
              <w:ind w:firstLine="0" w:firstLineChars="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36-108</w:t>
            </w:r>
          </w:p>
        </w:tc>
      </w:tr>
    </w:tbl>
    <w:p>
      <w:pPr>
        <w:keepNext/>
        <w:keepLines/>
        <w:pageBreakBefore w:val="0"/>
        <w:widowControl w:val="0"/>
        <w:numPr>
          <w:ilvl w:val="0"/>
          <w:numId w:val="0"/>
        </w:numPr>
        <w:kinsoku/>
        <w:wordWrap/>
        <w:overflowPunct/>
        <w:topLinePunct w:val="0"/>
        <w:autoSpaceDE/>
        <w:autoSpaceDN/>
        <w:bidi w:val="0"/>
        <w:adjustRightInd/>
        <w:snapToGrid/>
        <w:spacing w:before="30" w:beforeLines="30" w:beforeAutospacing="0" w:after="30" w:afterLines="30" w:afterAutospacing="0" w:line="460" w:lineRule="exact"/>
        <w:ind w:leftChars="200"/>
        <w:jc w:val="both"/>
        <w:textAlignment w:val="auto"/>
        <w:outlineLvl w:val="2"/>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5.实践课</w:t>
      </w:r>
    </w:p>
    <w:tbl>
      <w:tblPr>
        <w:tblStyle w:val="19"/>
        <w:tblW w:w="8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1"/>
        <w:gridCol w:w="617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jc w:val="center"/>
        </w:trPr>
        <w:tc>
          <w:tcPr>
            <w:tcW w:w="1591" w:type="dxa"/>
            <w:vAlign w:val="center"/>
          </w:tcPr>
          <w:p>
            <w:pPr>
              <w:keepNext w:val="0"/>
              <w:keepLines w:val="0"/>
              <w:pageBreakBefore w:val="0"/>
              <w:kinsoku/>
              <w:wordWrap/>
              <w:overflowPunct/>
              <w:topLinePunct w:val="0"/>
              <w:bidi w:val="0"/>
              <w:snapToGrid/>
              <w:spacing w:line="3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课程名称</w:t>
            </w:r>
          </w:p>
        </w:tc>
        <w:tc>
          <w:tcPr>
            <w:tcW w:w="6170" w:type="dxa"/>
            <w:vAlign w:val="center"/>
          </w:tcPr>
          <w:p>
            <w:pPr>
              <w:keepNext w:val="0"/>
              <w:keepLines w:val="0"/>
              <w:pageBreakBefore w:val="0"/>
              <w:kinsoku/>
              <w:wordWrap/>
              <w:overflowPunct/>
              <w:topLinePunct w:val="0"/>
              <w:bidi w:val="0"/>
              <w:snapToGrid/>
              <w:spacing w:line="3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教学内容及要求</w:t>
            </w:r>
          </w:p>
        </w:tc>
        <w:tc>
          <w:tcPr>
            <w:tcW w:w="1130" w:type="dxa"/>
            <w:vAlign w:val="center"/>
          </w:tcPr>
          <w:p>
            <w:pPr>
              <w:keepNext w:val="0"/>
              <w:keepLines w:val="0"/>
              <w:pageBreakBefore w:val="0"/>
              <w:kinsoku/>
              <w:wordWrap/>
              <w:overflowPunct/>
              <w:topLinePunct w:val="0"/>
              <w:bidi w:val="0"/>
              <w:snapToGrid/>
              <w:spacing w:line="3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widowControl/>
              <w:suppressLineNumbers w:val="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0"/>
                <w:szCs w:val="20"/>
                <w:u w:val="none"/>
                <w:lang w:val="en-US" w:eastAsia="zh-CN" w:bidi="ar"/>
              </w:rPr>
              <w:t>生产实习（职业体验）</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根据本</w:t>
            </w:r>
            <w:r>
              <w:rPr>
                <w:rFonts w:hint="default" w:ascii="宋体" w:hAnsi="宋体" w:eastAsia="宋体" w:cs="宋体"/>
                <w:color w:val="auto"/>
                <w:sz w:val="21"/>
                <w:szCs w:val="21"/>
                <w:lang w:val="en-US" w:eastAsia="zh-CN"/>
              </w:rPr>
              <w:t>专业特点设置实践环节</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学生</w:t>
            </w:r>
            <w:r>
              <w:rPr>
                <w:rFonts w:hint="eastAsia" w:ascii="宋体" w:hAnsi="宋体" w:eastAsia="宋体" w:cs="宋体"/>
                <w:color w:val="auto"/>
                <w:sz w:val="21"/>
                <w:szCs w:val="21"/>
                <w:lang w:val="en-US" w:eastAsia="zh-CN"/>
              </w:rPr>
              <w:t>能够</w:t>
            </w:r>
            <w:r>
              <w:rPr>
                <w:rFonts w:hint="default" w:ascii="宋体" w:hAnsi="宋体" w:eastAsia="宋体" w:cs="宋体"/>
                <w:color w:val="auto"/>
                <w:sz w:val="21"/>
                <w:szCs w:val="21"/>
                <w:lang w:val="en-US" w:eastAsia="zh-CN"/>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91" w:type="dxa"/>
            <w:vAlign w:val="center"/>
          </w:tcPr>
          <w:p>
            <w:pPr>
              <w:keepNext w:val="0"/>
              <w:keepLines w:val="0"/>
              <w:widowControl/>
              <w:suppressLineNumbers w:val="0"/>
              <w:jc w:val="center"/>
              <w:textAlignment w:val="center"/>
              <w:rPr>
                <w:rFonts w:hint="eastAsia" w:ascii="宋体" w:hAnsi="宋体" w:eastAsia="宋体" w:cs="宋体"/>
                <w:color w:val="auto"/>
                <w:sz w:val="21"/>
                <w:szCs w:val="21"/>
                <w:lang w:val="zh-CN"/>
              </w:rPr>
            </w:pPr>
            <w:r>
              <w:rPr>
                <w:rFonts w:hint="eastAsia" w:ascii="宋体" w:hAnsi="宋体" w:eastAsia="宋体" w:cs="宋体"/>
                <w:i w:val="0"/>
                <w:iCs w:val="0"/>
                <w:color w:val="000000"/>
                <w:kern w:val="0"/>
                <w:sz w:val="20"/>
                <w:szCs w:val="20"/>
                <w:u w:val="none"/>
                <w:lang w:val="en-US" w:eastAsia="zh-CN" w:bidi="ar"/>
              </w:rPr>
              <w:t>顶岗实习</w:t>
            </w:r>
          </w:p>
        </w:tc>
        <w:tc>
          <w:tcPr>
            <w:tcW w:w="6170" w:type="dxa"/>
            <w:vAlign w:val="center"/>
          </w:tcPr>
          <w:p>
            <w:pPr>
              <w:keepNext w:val="0"/>
              <w:keepLines w:val="0"/>
              <w:pageBreakBefore w:val="0"/>
              <w:widowControl w:val="0"/>
              <w:kinsoku/>
              <w:wordWrap/>
              <w:overflowPunct/>
              <w:topLinePunct w:val="0"/>
              <w:autoSpaceDE w:val="0"/>
              <w:autoSpaceDN w:val="0"/>
              <w:bidi w:val="0"/>
              <w:adjustRightInd w:val="0"/>
              <w:snapToGrid/>
              <w:spacing w:line="340" w:lineRule="exact"/>
              <w:ind w:left="0" w:firstLine="420" w:firstLineChars="200"/>
              <w:textAlignment w:val="auto"/>
              <w:rPr>
                <w:rFonts w:hint="default" w:ascii="宋体" w:hAnsi="宋体" w:eastAsia="宋体" w:cs="宋体"/>
                <w:color w:val="auto"/>
                <w:sz w:val="21"/>
                <w:szCs w:val="21"/>
                <w:lang w:val="en-US"/>
              </w:rPr>
            </w:pPr>
            <w:r>
              <w:rPr>
                <w:rFonts w:hint="eastAsia" w:ascii="宋体" w:hAnsi="宋体" w:eastAsia="宋体" w:cs="宋体"/>
                <w:sz w:val="21"/>
                <w:szCs w:val="21"/>
                <w:lang w:val="en-US" w:eastAsia="zh-CN"/>
              </w:rPr>
              <w:t>学生到企事业单位的现场，在本专业相关的实践岗位上，通过辅助、协作或独立实践等方式进入职业岗位。</w:t>
            </w:r>
          </w:p>
        </w:tc>
        <w:tc>
          <w:tcPr>
            <w:tcW w:w="1130" w:type="dxa"/>
            <w:vAlign w:val="center"/>
          </w:tcPr>
          <w:p>
            <w:pPr>
              <w:keepNext w:val="0"/>
              <w:keepLines w:val="0"/>
              <w:widowControl/>
              <w:suppressLineNumbers w:val="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540</w:t>
            </w:r>
          </w:p>
        </w:tc>
      </w:tr>
    </w:tbl>
    <w:p>
      <w:pPr>
        <w:keepNext/>
        <w:keepLines/>
        <w:pageBreakBefore w:val="0"/>
        <w:widowControl w:val="0"/>
        <w:numPr>
          <w:ilvl w:val="0"/>
          <w:numId w:val="2"/>
        </w:numPr>
        <w:kinsoku/>
        <w:wordWrap/>
        <w:overflowPunct/>
        <w:topLinePunct w:val="0"/>
        <w:autoSpaceDE/>
        <w:autoSpaceDN/>
        <w:bidi w:val="0"/>
        <w:adjustRightInd/>
        <w:snapToGrid/>
        <w:spacing w:before="95" w:beforeLines="30" w:beforeAutospacing="0" w:after="30" w:afterLines="30" w:afterAutospacing="0" w:line="460" w:lineRule="exact"/>
        <w:ind w:firstLine="602" w:firstLineChars="200"/>
        <w:jc w:val="both"/>
        <w:textAlignment w:val="auto"/>
        <w:outlineLvl w:val="0"/>
        <w:rPr>
          <w:rFonts w:hint="eastAsia" w:eastAsia="黑体" w:asciiTheme="minorAscii" w:hAnsiTheme="minorAscii" w:cstheme="minorBidi"/>
          <w:b/>
          <w:color w:val="auto"/>
          <w:kern w:val="44"/>
          <w:sz w:val="30"/>
          <w:szCs w:val="24"/>
          <w:lang w:val="en-US" w:eastAsia="zh-CN" w:bidi="ar-SA"/>
        </w:rPr>
      </w:pPr>
      <w:bookmarkStart w:id="47" w:name="_Toc7412"/>
      <w:bookmarkStart w:id="48" w:name="_Toc6844"/>
      <w:bookmarkStart w:id="49" w:name="_Toc4433"/>
      <w:bookmarkStart w:id="50" w:name="_Toc11719"/>
      <w:r>
        <w:rPr>
          <w:rFonts w:hint="eastAsia" w:eastAsia="黑体" w:asciiTheme="minorAscii" w:hAnsiTheme="minorAscii" w:cstheme="minorBidi"/>
          <w:b/>
          <w:color w:val="auto"/>
          <w:kern w:val="44"/>
          <w:sz w:val="30"/>
          <w:szCs w:val="24"/>
          <w:lang w:val="en-US" w:eastAsia="zh-CN" w:bidi="ar-SA"/>
        </w:rPr>
        <w:t>教学进程总体安排</w:t>
      </w:r>
      <w:bookmarkEnd w:id="47"/>
      <w:bookmarkEnd w:id="48"/>
      <w:bookmarkEnd w:id="49"/>
      <w:bookmarkEnd w:id="50"/>
    </w:p>
    <w:p>
      <w:pPr>
        <w:pStyle w:val="4"/>
        <w:numPr>
          <w:ilvl w:val="0"/>
          <w:numId w:val="5"/>
        </w:numPr>
        <w:bidi w:val="0"/>
        <w:rPr>
          <w:rFonts w:hint="eastAsia"/>
          <w:color w:val="auto"/>
          <w:lang w:val="en-US" w:eastAsia="zh-CN"/>
        </w:rPr>
      </w:pPr>
      <w:bookmarkStart w:id="51" w:name="_Toc30508"/>
      <w:bookmarkStart w:id="52" w:name="_Toc29384"/>
      <w:bookmarkStart w:id="53" w:name="_Toc17868"/>
      <w:bookmarkStart w:id="54" w:name="_Toc15224"/>
      <w:bookmarkStart w:id="55" w:name="_Toc20792"/>
      <w:r>
        <w:rPr>
          <w:rFonts w:hint="eastAsia"/>
          <w:color w:val="auto"/>
          <w:lang w:val="en-US" w:eastAsia="zh-CN"/>
        </w:rPr>
        <w:t>基本要求</w:t>
      </w:r>
      <w:bookmarkEnd w:id="51"/>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lang w:val="en-US" w:eastAsia="zh-CN"/>
        </w:rPr>
      </w:pPr>
      <w:bookmarkStart w:id="56" w:name="_Toc926"/>
      <w:bookmarkStart w:id="57" w:name="_Toc17619"/>
      <w:bookmarkStart w:id="58" w:name="_Toc26823"/>
      <w:r>
        <w:rPr>
          <w:rFonts w:hint="eastAsia" w:ascii="宋体" w:hAnsi="宋体" w:eastAsia="宋体" w:cs="宋体"/>
          <w:color w:val="auto"/>
          <w:sz w:val="24"/>
          <w:lang w:val="en-US" w:eastAsia="zh-CN"/>
        </w:rPr>
        <w:t>1.每学年为52周，其中教学时间40周（含复习考试），累计假期12周，周学时为28学时，岗位实习按每周30小时（1小时折合1学时）安排，3年总学时数为3000-3300学时。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2.一般18学时为1学分，3年制总学分不得少于170。军训、社会实践、入学教育、毕业教育等活动以1周为1学分，共5学分。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3.公共基础课学时约占总学时1/3，允许根据行业人才培养的实际需要在规定的范围内适当调整，但必须保证学生修完公共基础课的必修内容和学时。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4.专业课程学时一般占总学时的2/3，在确保学生实习总量的前提下，可根据实际需要集中或分阶段安排实习时间，行业企业职业认知应安排在第一学年。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5.课程设置中应设选修课，专业选修课程的学时数占总学时的比例应不少于10%。</w:t>
      </w:r>
    </w:p>
    <w:p>
      <w:pPr>
        <w:pStyle w:val="4"/>
        <w:numPr>
          <w:ilvl w:val="0"/>
          <w:numId w:val="5"/>
        </w:numPr>
        <w:bidi w:val="0"/>
        <w:rPr>
          <w:rFonts w:hint="eastAsia"/>
          <w:color w:val="auto"/>
          <w:lang w:val="en-US" w:eastAsia="zh-CN"/>
        </w:rPr>
      </w:pPr>
      <w:bookmarkStart w:id="59" w:name="_Toc20947"/>
      <w:r>
        <w:rPr>
          <w:rFonts w:hint="eastAsia" w:ascii="宋体" w:hAnsi="宋体" w:eastAsia="宋体" w:cs="宋体"/>
          <w:color w:val="auto"/>
          <w:sz w:val="24"/>
          <w:highlight w:val="none"/>
          <w:lang w:val="en-US" w:eastAsia="zh-CN"/>
        </w:rPr>
        <w:t>课程</w:t>
      </w:r>
      <w:r>
        <w:rPr>
          <w:rFonts w:hint="eastAsia"/>
          <w:color w:val="auto"/>
          <w:lang w:val="en-US" w:eastAsia="zh-CN"/>
        </w:rPr>
        <w:t>教学进度安排表</w:t>
      </w:r>
      <w:bookmarkEnd w:id="56"/>
      <w:bookmarkEnd w:id="57"/>
      <w:bookmarkEnd w:id="58"/>
      <w:bookmarkEnd w:id="59"/>
    </w:p>
    <w:tbl>
      <w:tblPr>
        <w:tblStyle w:val="19"/>
        <w:tblW w:w="10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675"/>
        <w:gridCol w:w="687"/>
        <w:gridCol w:w="2612"/>
        <w:gridCol w:w="718"/>
        <w:gridCol w:w="767"/>
        <w:gridCol w:w="714"/>
        <w:gridCol w:w="714"/>
        <w:gridCol w:w="714"/>
        <w:gridCol w:w="714"/>
        <w:gridCol w:w="714"/>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jc w:val="center"/>
        </w:trPr>
        <w:tc>
          <w:tcPr>
            <w:tcW w:w="1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类别</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总学时</w:t>
            </w:r>
          </w:p>
        </w:tc>
        <w:tc>
          <w:tcPr>
            <w:tcW w:w="4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学期周数与周学时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五</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blHeader/>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基础课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（必修）</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军训及入学教育</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1周</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劳动与行为习惯养成教育</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习近平新时代读本</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中国特色社会主义</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心理健康与职业生涯</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哲学与人生</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职业道德与法治</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信息技术</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历史</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公共艺术（音乐）</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公共艺术（美术）</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体育与健康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语文</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数学</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kern w:val="0"/>
                <w:sz w:val="21"/>
                <w:szCs w:val="21"/>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英语</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61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41.2%</w:t>
            </w:r>
          </w:p>
        </w:tc>
        <w:tc>
          <w:tcPr>
            <w:tcW w:w="718"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70</w:t>
            </w:r>
          </w:p>
        </w:tc>
        <w:tc>
          <w:tcPr>
            <w:tcW w:w="76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1272</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19</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选修课</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（选修）</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中华传统文化</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物理（拓展模块）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61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0.6%</w:t>
            </w:r>
          </w:p>
        </w:tc>
        <w:tc>
          <w:tcPr>
            <w:tcW w:w="718"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专业课程</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专业群平台课</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美术基础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艺术鉴赏</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图形图像基础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影像技术基础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61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5.8%</w:t>
            </w:r>
          </w:p>
        </w:tc>
        <w:tc>
          <w:tcPr>
            <w:tcW w:w="718"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专业基础课程</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设计构成</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设计美术基础</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61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718"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76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54</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专业核心课程</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漆画设计与制作</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漆器设计与制作</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图案纹样设计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工艺绘画</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插画设计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旅游纪念品设计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61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22.1%</w:t>
            </w:r>
          </w:p>
        </w:tc>
        <w:tc>
          <w:tcPr>
            <w:tcW w:w="718"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38</w:t>
            </w:r>
          </w:p>
        </w:tc>
        <w:tc>
          <w:tcPr>
            <w:tcW w:w="76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684</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专业拓展课程</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（选修）</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文案设计与撰写</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传统文化传承</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营销策划与品牌推广</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沟通礼仪与技巧</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61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9.9%</w:t>
            </w:r>
          </w:p>
        </w:tc>
        <w:tc>
          <w:tcPr>
            <w:tcW w:w="718"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76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3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实践课</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生产实习（职业体验）</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顶岗实习</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13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612"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18.6%</w:t>
            </w:r>
          </w:p>
        </w:tc>
        <w:tc>
          <w:tcPr>
            <w:tcW w:w="718"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w:t>
            </w:r>
          </w:p>
        </w:tc>
        <w:tc>
          <w:tcPr>
            <w:tcW w:w="767"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576</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714"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4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171</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3090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w:t>
            </w:r>
          </w:p>
        </w:tc>
      </w:tr>
    </w:tbl>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highlight w:val="none"/>
          <w:lang w:val="en-US" w:eastAsia="zh-CN" w:bidi="ar-SA"/>
        </w:rPr>
      </w:pPr>
      <w:bookmarkStart w:id="60" w:name="_Toc29208"/>
      <w:bookmarkStart w:id="61" w:name="_Toc27593"/>
      <w:bookmarkStart w:id="62" w:name="_Toc11852"/>
      <w:bookmarkStart w:id="63" w:name="_Toc21929"/>
      <w:bookmarkStart w:id="64" w:name="_Toc5818"/>
      <w:r>
        <w:rPr>
          <w:rFonts w:hint="eastAsia" w:eastAsia="黑体" w:asciiTheme="minorAscii" w:hAnsiTheme="minorAscii" w:cstheme="minorBidi"/>
          <w:b/>
          <w:color w:val="auto"/>
          <w:kern w:val="44"/>
          <w:sz w:val="30"/>
          <w:szCs w:val="24"/>
          <w:highlight w:val="none"/>
          <w:lang w:val="en-US" w:eastAsia="zh-CN" w:bidi="ar-SA"/>
        </w:rPr>
        <w:t>实施保障</w:t>
      </w:r>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艺术设计与制作专业人才培养方案实施保障主要包括师资队伍、教学设施、教学资源、教学实施、学习评价、质量管理等方面。</w:t>
      </w:r>
    </w:p>
    <w:p>
      <w:pPr>
        <w:pStyle w:val="4"/>
        <w:bidi w:val="0"/>
        <w:rPr>
          <w:color w:val="auto"/>
        </w:rPr>
      </w:pPr>
      <w:bookmarkStart w:id="65" w:name="_Toc3958"/>
      <w:bookmarkStart w:id="66" w:name="_Toc7519"/>
      <w:bookmarkStart w:id="67" w:name="_Toc10508"/>
      <w:bookmarkStart w:id="68" w:name="_Toc24804"/>
      <w:bookmarkStart w:id="69" w:name="_Toc24146"/>
      <w:r>
        <w:rPr>
          <w:rFonts w:hint="eastAsia"/>
          <w:color w:val="auto"/>
        </w:rPr>
        <w:t>（一）师资队伍</w:t>
      </w:r>
      <w:bookmarkEnd w:id="65"/>
      <w:bookmarkEnd w:id="66"/>
      <w:bookmarkEnd w:id="67"/>
      <w:bookmarkEnd w:id="68"/>
      <w:bookmarkEnd w:id="69"/>
    </w:p>
    <w:p>
      <w:pPr>
        <w:keepNext/>
        <w:keepLines/>
        <w:widowControl w:val="0"/>
        <w:bidi w:val="0"/>
        <w:spacing w:before="30" w:beforeLines="30" w:beforeAutospacing="0" w:after="30" w:afterLines="30" w:afterAutospacing="0" w:line="460" w:lineRule="exact"/>
        <w:ind w:firstLine="482" w:firstLineChars="200"/>
        <w:jc w:val="both"/>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1.教学团队总体要求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pPr>
        <w:keepNext/>
        <w:keepLines/>
        <w:widowControl w:val="0"/>
        <w:bidi w:val="0"/>
        <w:spacing w:before="30" w:beforeLines="30" w:beforeAutospacing="0" w:after="30" w:afterLines="30" w:afterAutospacing="0" w:line="460" w:lineRule="exact"/>
        <w:ind w:firstLine="482" w:firstLineChars="200"/>
        <w:jc w:val="both"/>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2.专任教师要求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艺术设计与工艺专业专任教师要求具有高中阶段学校及以上教师资格证书；具有视觉传达设计、广告艺术设计、包装艺术设计、摄影与摄像艺术、艺术设计学等相关专业本科及以上学历；具有本专业理论和实践能力；能够落实课程思政要求，挖掘专业课程中的思政教育元素和资源；能够调配、规划实验实训设备，完善符合现代教学方式的教学场所；能够跟踪新经济、新技术发展前沿，开展社会服务；专业教师每年至少1个月在企业或实训基地实训，每5年累计不少于6个月的企业实践经历。</w:t>
      </w:r>
    </w:p>
    <w:p>
      <w:pPr>
        <w:keepNext/>
        <w:keepLines/>
        <w:widowControl w:val="0"/>
        <w:bidi w:val="0"/>
        <w:spacing w:before="30" w:beforeLines="30" w:beforeAutospacing="0" w:after="30" w:afterLines="30" w:afterAutospacing="0" w:line="460" w:lineRule="exact"/>
        <w:ind w:firstLine="482" w:firstLineChars="200"/>
        <w:jc w:val="both"/>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3.兼职教师要求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bookmarkStart w:id="70" w:name="_Toc17999"/>
      <w:bookmarkStart w:id="71" w:name="_Toc21276"/>
      <w:bookmarkStart w:id="72" w:name="_Toc20635"/>
      <w:bookmarkStart w:id="73" w:name="_Toc20070"/>
      <w:r>
        <w:rPr>
          <w:rFonts w:hint="eastAsia" w:ascii="宋体" w:hAnsi="宋体" w:eastAsia="宋体" w:cs="宋体"/>
          <w:color w:val="auto"/>
          <w:sz w:val="24"/>
          <w:lang w:val="en-US" w:eastAsia="zh-CN"/>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p>
    <w:p>
      <w:pPr>
        <w:pStyle w:val="4"/>
        <w:bidi w:val="0"/>
        <w:rPr>
          <w:rFonts w:hint="eastAsia"/>
          <w:color w:val="auto"/>
        </w:rPr>
      </w:pPr>
      <w:bookmarkStart w:id="74" w:name="_Toc22297"/>
      <w:r>
        <w:rPr>
          <w:rFonts w:hint="eastAsia"/>
          <w:color w:val="auto"/>
        </w:rPr>
        <w:t>（二）教学设施</w:t>
      </w:r>
      <w:bookmarkEnd w:id="70"/>
      <w:bookmarkEnd w:id="71"/>
      <w:bookmarkEnd w:id="72"/>
      <w:bookmarkEnd w:id="73"/>
      <w:bookmarkEnd w:id="74"/>
    </w:p>
    <w:p>
      <w:pPr>
        <w:pageBreakBefore w:val="0"/>
        <w:numPr>
          <w:ilvl w:val="0"/>
          <w:numId w:val="0"/>
        </w:numPr>
        <w:kinsoku/>
        <w:wordWrap/>
        <w:overflowPunct/>
        <w:topLinePunct w:val="0"/>
        <w:autoSpaceDE/>
        <w:autoSpaceDN/>
        <w:bidi w:val="0"/>
        <w:spacing w:line="440" w:lineRule="exact"/>
        <w:ind w:leftChars="200"/>
        <w:textAlignment w:val="auto"/>
        <w:outlineLvl w:val="2"/>
        <w:rPr>
          <w:rFonts w:hint="eastAsia" w:ascii="宋体" w:hAnsi="宋体" w:eastAsia="宋体" w:cs="宋体"/>
          <w:b/>
          <w:color w:val="auto"/>
          <w:sz w:val="24"/>
          <w:szCs w:val="24"/>
          <w:lang w:val="en-US" w:eastAsia="zh-CN" w:bidi="ar"/>
        </w:rPr>
      </w:pPr>
      <w:bookmarkStart w:id="75" w:name="_Toc30118"/>
      <w:r>
        <w:rPr>
          <w:rFonts w:hint="eastAsia" w:ascii="宋体" w:hAnsi="宋体" w:eastAsia="宋体" w:cs="宋体"/>
          <w:b/>
          <w:color w:val="auto"/>
          <w:sz w:val="24"/>
          <w:szCs w:val="24"/>
          <w:lang w:val="en-US" w:eastAsia="zh-CN" w:bidi="ar"/>
        </w:rPr>
        <w:t>1.专业教室</w:t>
      </w:r>
      <w:bookmarkEnd w:id="75"/>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bookmarkStart w:id="76" w:name="_Hlk83220190"/>
      <w:r>
        <w:rPr>
          <w:rFonts w:hint="eastAsia" w:ascii="宋体" w:hAnsi="宋体" w:eastAsia="宋体" w:cs="宋体"/>
          <w:color w:val="auto"/>
          <w:sz w:val="24"/>
          <w:lang w:val="en-US" w:eastAsia="zh-CN"/>
        </w:rPr>
        <w:t>具备利用信息化手段开展混合式教学的条件。</w:t>
      </w:r>
      <w:bookmarkEnd w:id="76"/>
      <w:r>
        <w:rPr>
          <w:rFonts w:hint="eastAsia" w:ascii="宋体" w:hAnsi="宋体" w:eastAsia="宋体" w:cs="宋体"/>
          <w:color w:val="auto"/>
          <w:sz w:val="24"/>
          <w:lang w:val="en-US" w:eastAsia="zh-CN"/>
        </w:rPr>
        <w:t>一般配备黑（白）板、多媒体计算机、投影设备、音响设备，互联网接入或无线网络环境，并具有网络安全防护措施。安装应急照明装置并保持良好状态，符合紧急疏散要求、标志明显、保持逃生通道畅通无阻。</w:t>
      </w:r>
    </w:p>
    <w:p>
      <w:pPr>
        <w:pageBreakBefore w:val="0"/>
        <w:numPr>
          <w:ilvl w:val="0"/>
          <w:numId w:val="0"/>
        </w:numPr>
        <w:kinsoku/>
        <w:wordWrap/>
        <w:overflowPunct/>
        <w:topLinePunct w:val="0"/>
        <w:autoSpaceDE/>
        <w:autoSpaceDN/>
        <w:bidi w:val="0"/>
        <w:spacing w:line="440" w:lineRule="exact"/>
        <w:ind w:leftChars="200"/>
        <w:textAlignment w:val="auto"/>
        <w:outlineLvl w:val="2"/>
        <w:rPr>
          <w:rFonts w:hint="eastAsia" w:ascii="宋体" w:hAnsi="宋体" w:eastAsia="宋体" w:cs="宋体"/>
          <w:b/>
          <w:color w:val="auto"/>
          <w:sz w:val="24"/>
          <w:szCs w:val="24"/>
          <w:lang w:val="en-US" w:eastAsia="zh-CN" w:bidi="ar"/>
        </w:rPr>
      </w:pPr>
      <w:bookmarkStart w:id="77" w:name="_Toc11904"/>
      <w:r>
        <w:rPr>
          <w:rFonts w:hint="eastAsia" w:ascii="宋体" w:hAnsi="宋体" w:eastAsia="宋体" w:cs="宋体"/>
          <w:b/>
          <w:color w:val="auto"/>
          <w:sz w:val="24"/>
          <w:szCs w:val="24"/>
          <w:lang w:val="en-US" w:eastAsia="zh-CN" w:bidi="ar"/>
        </w:rPr>
        <w:t>2.校内实训</w:t>
      </w:r>
      <w:bookmarkEnd w:id="77"/>
      <w:r>
        <w:rPr>
          <w:rFonts w:hint="eastAsia" w:ascii="宋体" w:hAnsi="宋体" w:eastAsia="宋体" w:cs="宋体"/>
          <w:b/>
          <w:color w:val="auto"/>
          <w:sz w:val="24"/>
          <w:szCs w:val="24"/>
          <w:lang w:val="en-US" w:eastAsia="zh-CN" w:bidi="ar"/>
        </w:rPr>
        <w:t>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bookmarkStart w:id="78" w:name="_Toc14110"/>
      <w:bookmarkStart w:id="79" w:name="_Toc32182"/>
      <w:r>
        <w:rPr>
          <w:rFonts w:hint="eastAsia" w:ascii="宋体" w:hAnsi="宋体" w:eastAsia="宋体" w:cs="宋体"/>
          <w:color w:val="auto"/>
          <w:sz w:val="24"/>
          <w:lang w:val="en-US" w:eastAsia="zh-CN"/>
        </w:rPr>
        <w:t>除本专业群共享实训室外，本专业校内实习必须具备的实训室与设备设施和主要工具的名称及数量见下表。</w:t>
      </w:r>
    </w:p>
    <w:tbl>
      <w:tblPr>
        <w:tblStyle w:val="25"/>
        <w:tblW w:w="7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7"/>
        <w:gridCol w:w="1619"/>
        <w:gridCol w:w="3049"/>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b/>
                <w:bCs/>
                <w:kern w:val="0"/>
                <w:sz w:val="21"/>
                <w:szCs w:val="21"/>
              </w:rPr>
              <w:t>序号</w:t>
            </w:r>
          </w:p>
        </w:tc>
        <w:tc>
          <w:tcPr>
            <w:tcW w:w="1619"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spacing w:val="-4"/>
                <w:sz w:val="21"/>
                <w:szCs w:val="21"/>
              </w:rPr>
            </w:pPr>
            <w:r>
              <w:rPr>
                <w:rFonts w:hint="eastAsia" w:ascii="宋体" w:hAnsi="宋体" w:eastAsia="宋体" w:cs="宋体"/>
                <w:b/>
                <w:bCs/>
                <w:kern w:val="0"/>
                <w:sz w:val="21"/>
                <w:szCs w:val="21"/>
              </w:rPr>
              <w:t>实训室名称</w:t>
            </w:r>
          </w:p>
        </w:tc>
        <w:tc>
          <w:tcPr>
            <w:tcW w:w="3049"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spacing w:val="12"/>
                <w:sz w:val="21"/>
                <w:szCs w:val="21"/>
              </w:rPr>
            </w:pPr>
            <w:r>
              <w:rPr>
                <w:rFonts w:hint="eastAsia" w:ascii="宋体" w:hAnsi="宋体" w:eastAsia="宋体" w:cs="宋体"/>
                <w:b/>
                <w:bCs/>
                <w:kern w:val="0"/>
                <w:sz w:val="21"/>
                <w:szCs w:val="21"/>
              </w:rPr>
              <w:t>设备设施（工具）名称</w:t>
            </w:r>
          </w:p>
        </w:tc>
        <w:tc>
          <w:tcPr>
            <w:tcW w:w="2293"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spacing w:val="-6"/>
                <w:sz w:val="21"/>
                <w:szCs w:val="21"/>
              </w:rPr>
            </w:pPr>
            <w:r>
              <w:rPr>
                <w:rFonts w:hint="eastAsia" w:ascii="宋体" w:hAnsi="宋体" w:eastAsia="宋体" w:cs="宋体"/>
                <w:b/>
                <w:bCs/>
                <w:kern w:val="0"/>
                <w:sz w:val="21"/>
                <w:szCs w:val="21"/>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5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w:t>
            </w:r>
          </w:p>
        </w:tc>
        <w:tc>
          <w:tcPr>
            <w:tcW w:w="16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spacing w:val="-4"/>
                <w:sz w:val="21"/>
                <w:szCs w:val="21"/>
                <w:lang w:val="en-US"/>
              </w:rPr>
            </w:pPr>
            <w:r>
              <w:rPr>
                <w:rFonts w:hint="eastAsia" w:ascii="宋体" w:hAnsi="宋体" w:eastAsia="宋体" w:cs="宋体"/>
                <w:color w:val="000000"/>
                <w:kern w:val="0"/>
                <w:sz w:val="21"/>
                <w:szCs w:val="21"/>
                <w:lang w:val="en-US" w:eastAsia="zh-CN" w:bidi="ar"/>
              </w:rPr>
              <w:t>漆艺工作室1间</w:t>
            </w: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leftChars="0" w:right="0" w:firstLine="0"/>
              <w:jc w:val="center"/>
              <w:textAlignment w:val="auto"/>
              <w:rPr>
                <w:rFonts w:hint="eastAsia" w:ascii="宋体" w:hAnsi="宋体" w:eastAsia="宋体" w:cs="宋体"/>
                <w:spacing w:val="12"/>
                <w:sz w:val="21"/>
                <w:szCs w:val="21"/>
              </w:rPr>
            </w:pPr>
            <w:r>
              <w:rPr>
                <w:rFonts w:hint="eastAsia" w:ascii="宋体" w:hAnsi="宋体" w:eastAsia="宋体" w:cs="宋体"/>
                <w:spacing w:val="3"/>
                <w:sz w:val="21"/>
                <w:szCs w:val="21"/>
              </w:rPr>
              <w:t>工作</w:t>
            </w:r>
            <w:r>
              <w:rPr>
                <w:rFonts w:hint="eastAsia" w:ascii="宋体" w:hAnsi="宋体" w:eastAsia="宋体" w:cs="宋体"/>
                <w:spacing w:val="2"/>
                <w:sz w:val="21"/>
                <w:szCs w:val="21"/>
              </w:rPr>
              <w:t>台</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leftChars="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4</w:t>
            </w:r>
            <w:r>
              <w:rPr>
                <w:rFonts w:hint="eastAsia" w:ascii="宋体" w:hAnsi="宋体" w:eastAsia="宋体" w:cs="宋体"/>
                <w:spacing w:val="-5"/>
                <w:sz w:val="21"/>
                <w:szCs w:val="21"/>
              </w:rPr>
              <w:t>0</w:t>
            </w:r>
            <w:r>
              <w:rPr>
                <w:rFonts w:hint="eastAsia" w:ascii="宋体" w:hAnsi="宋体" w:eastAsia="宋体" w:cs="宋体"/>
                <w:spacing w:val="-3"/>
                <w:sz w:val="21"/>
                <w:szCs w:val="21"/>
              </w:rPr>
              <w:t>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57"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spacing w:val="-4"/>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leftChars="0" w:right="0" w:firstLine="0"/>
              <w:jc w:val="center"/>
              <w:textAlignment w:val="auto"/>
              <w:rPr>
                <w:rFonts w:hint="eastAsia" w:ascii="宋体" w:hAnsi="宋体" w:eastAsia="宋体" w:cs="宋体"/>
                <w:spacing w:val="12"/>
                <w:sz w:val="21"/>
                <w:szCs w:val="21"/>
              </w:rPr>
            </w:pPr>
            <w:r>
              <w:rPr>
                <w:rFonts w:hint="eastAsia" w:ascii="宋体" w:hAnsi="宋体" w:eastAsia="宋体" w:cs="宋体"/>
                <w:spacing w:val="9"/>
                <w:sz w:val="21"/>
                <w:szCs w:val="21"/>
              </w:rPr>
              <w:t>教</w:t>
            </w:r>
            <w:r>
              <w:rPr>
                <w:rFonts w:hint="eastAsia" w:ascii="宋体" w:hAnsi="宋体" w:eastAsia="宋体" w:cs="宋体"/>
                <w:spacing w:val="7"/>
                <w:sz w:val="21"/>
                <w:szCs w:val="21"/>
              </w:rPr>
              <w:t>师用计算机</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leftChars="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14"/>
                <w:sz w:val="21"/>
                <w:szCs w:val="21"/>
              </w:rPr>
              <w:t>1</w:t>
            </w:r>
            <w:r>
              <w:rPr>
                <w:rFonts w:hint="eastAsia" w:ascii="宋体" w:hAnsi="宋体" w:eastAsia="宋体" w:cs="宋体"/>
                <w:spacing w:val="-12"/>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ind w:left="0" w:right="0" w:firstLine="0" w:firstLineChars="0"/>
              <w:jc w:val="center"/>
              <w:textAlignment w:val="auto"/>
              <w:rPr>
                <w:rFonts w:hint="eastAsia" w:ascii="宋体" w:hAnsi="宋体" w:eastAsia="宋体" w:cs="宋体"/>
                <w:spacing w:val="-4"/>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leftChars="0" w:right="0" w:firstLine="0"/>
              <w:jc w:val="center"/>
              <w:textAlignment w:val="auto"/>
              <w:rPr>
                <w:rFonts w:hint="eastAsia" w:ascii="宋体" w:hAnsi="宋体" w:eastAsia="宋体" w:cs="宋体"/>
                <w:spacing w:val="12"/>
                <w:sz w:val="21"/>
                <w:szCs w:val="21"/>
              </w:rPr>
            </w:pPr>
            <w:r>
              <w:rPr>
                <w:rFonts w:hint="eastAsia" w:ascii="宋体" w:hAnsi="宋体" w:eastAsia="宋体" w:cs="宋体"/>
                <w:spacing w:val="10"/>
                <w:sz w:val="21"/>
                <w:szCs w:val="21"/>
              </w:rPr>
              <w:t>漆</w:t>
            </w:r>
            <w:r>
              <w:rPr>
                <w:rFonts w:hint="eastAsia" w:ascii="宋体" w:hAnsi="宋体" w:eastAsia="宋体" w:cs="宋体"/>
                <w:spacing w:val="8"/>
                <w:sz w:val="21"/>
                <w:szCs w:val="21"/>
              </w:rPr>
              <w:t>艺制品手工操作工具</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leftChars="0" w:right="0" w:firstLine="0"/>
              <w:jc w:val="center"/>
              <w:textAlignment w:val="auto"/>
              <w:rPr>
                <w:rFonts w:hint="eastAsia" w:ascii="宋体" w:hAnsi="宋体" w:eastAsia="宋体" w:cs="宋体"/>
                <w:spacing w:val="-6"/>
                <w:sz w:val="21"/>
                <w:szCs w:val="21"/>
              </w:rPr>
            </w:pPr>
            <w:r>
              <w:rPr>
                <w:rFonts w:hint="eastAsia" w:ascii="宋体" w:hAnsi="宋体" w:eastAsia="宋体" w:cs="宋体"/>
                <w:spacing w:val="-10"/>
                <w:sz w:val="21"/>
                <w:szCs w:val="21"/>
              </w:rPr>
              <w:t>4</w:t>
            </w:r>
            <w:r>
              <w:rPr>
                <w:rFonts w:hint="eastAsia" w:ascii="宋体" w:hAnsi="宋体" w:eastAsia="宋体" w:cs="宋体"/>
                <w:spacing w:val="-9"/>
                <w:sz w:val="21"/>
                <w:szCs w:val="21"/>
              </w:rPr>
              <w:t>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restart"/>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619" w:type="dxa"/>
            <w:vMerge w:val="restart"/>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摄</w:t>
            </w:r>
            <w:r>
              <w:rPr>
                <w:rFonts w:hint="eastAsia" w:ascii="宋体" w:hAnsi="宋体" w:eastAsia="宋体" w:cs="宋体"/>
                <w:spacing w:val="-2"/>
                <w:sz w:val="21"/>
                <w:szCs w:val="21"/>
              </w:rPr>
              <w:t>影实训室1</w:t>
            </w:r>
            <w:r>
              <w:rPr>
                <w:rFonts w:hint="eastAsia" w:ascii="宋体" w:hAnsi="宋体" w:eastAsia="宋体" w:cs="宋体"/>
                <w:sz w:val="21"/>
                <w:szCs w:val="21"/>
              </w:rPr>
              <w:t>间</w:t>
            </w: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2"/>
                <w:sz w:val="21"/>
                <w:szCs w:val="21"/>
              </w:rPr>
              <w:t>数</w:t>
            </w:r>
            <w:r>
              <w:rPr>
                <w:rFonts w:hint="eastAsia" w:ascii="宋体" w:hAnsi="宋体" w:eastAsia="宋体" w:cs="宋体"/>
                <w:spacing w:val="8"/>
                <w:sz w:val="21"/>
                <w:szCs w:val="21"/>
              </w:rPr>
              <w:t>码相机、数码摄像机</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2</w:t>
            </w:r>
            <w:r>
              <w:rPr>
                <w:rFonts w:hint="eastAsia" w:ascii="宋体" w:hAnsi="宋体" w:eastAsia="宋体" w:cs="宋体"/>
                <w:spacing w:val="-4"/>
                <w:sz w:val="21"/>
                <w:szCs w:val="21"/>
              </w:rPr>
              <w:t>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2"/>
                <w:sz w:val="21"/>
                <w:szCs w:val="21"/>
              </w:rPr>
              <w:t>灯</w:t>
            </w:r>
            <w:r>
              <w:rPr>
                <w:rFonts w:hint="eastAsia" w:ascii="宋体" w:hAnsi="宋体" w:eastAsia="宋体" w:cs="宋体"/>
                <w:spacing w:val="8"/>
                <w:sz w:val="21"/>
                <w:szCs w:val="21"/>
              </w:rPr>
              <w:t>光、背景布、静物台</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1"/>
                <w:sz w:val="21"/>
                <w:szCs w:val="21"/>
              </w:rPr>
              <w:t>1</w:t>
            </w:r>
            <w:r>
              <w:rPr>
                <w:rFonts w:hint="eastAsia" w:ascii="宋体" w:hAnsi="宋体" w:eastAsia="宋体" w:cs="宋体"/>
                <w:spacing w:val="-2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数码照片洗印设备</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1"/>
                <w:sz w:val="21"/>
                <w:szCs w:val="21"/>
              </w:rPr>
              <w:t>1</w:t>
            </w:r>
            <w:r>
              <w:rPr>
                <w:rFonts w:hint="eastAsia" w:ascii="宋体" w:hAnsi="宋体" w:eastAsia="宋体" w:cs="宋体"/>
                <w:spacing w:val="-2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0"/>
                <w:sz w:val="21"/>
                <w:szCs w:val="21"/>
              </w:rPr>
              <w:t>彩</w:t>
            </w:r>
            <w:r>
              <w:rPr>
                <w:rFonts w:hint="eastAsia" w:ascii="宋体" w:hAnsi="宋体" w:eastAsia="宋体" w:cs="宋体"/>
                <w:spacing w:val="7"/>
                <w:sz w:val="21"/>
                <w:szCs w:val="21"/>
              </w:rPr>
              <w:t>色喷墨打印机</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4"/>
                <w:sz w:val="21"/>
                <w:szCs w:val="21"/>
              </w:rPr>
              <w:t>1</w:t>
            </w:r>
            <w:r>
              <w:rPr>
                <w:rFonts w:hint="eastAsia" w:ascii="宋体" w:hAnsi="宋体" w:eastAsia="宋体" w:cs="宋体"/>
                <w:spacing w:val="-12"/>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教学平台</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1"/>
                <w:sz w:val="21"/>
                <w:szCs w:val="21"/>
              </w:rPr>
              <w:t>1</w:t>
            </w:r>
            <w:r>
              <w:rPr>
                <w:rFonts w:hint="eastAsia" w:ascii="宋体" w:hAnsi="宋体" w:eastAsia="宋体" w:cs="宋体"/>
                <w:spacing w:val="-2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restart"/>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619" w:type="dxa"/>
            <w:vMerge w:val="restart"/>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pacing w:val="-10"/>
                <w:sz w:val="21"/>
                <w:szCs w:val="21"/>
              </w:rPr>
            </w:pPr>
            <w:r>
              <w:rPr>
                <w:rFonts w:hint="eastAsia" w:ascii="宋体" w:hAnsi="宋体" w:eastAsia="宋体" w:cs="宋体"/>
                <w:spacing w:val="7"/>
                <w:sz w:val="21"/>
                <w:szCs w:val="21"/>
              </w:rPr>
              <w:t>综</w:t>
            </w:r>
            <w:r>
              <w:rPr>
                <w:rFonts w:hint="eastAsia" w:ascii="宋体" w:hAnsi="宋体" w:eastAsia="宋体" w:cs="宋体"/>
                <w:spacing w:val="6"/>
                <w:sz w:val="21"/>
                <w:szCs w:val="21"/>
              </w:rPr>
              <w:t>合材料实</w:t>
            </w:r>
            <w:r>
              <w:rPr>
                <w:rFonts w:hint="eastAsia" w:ascii="宋体" w:hAnsi="宋体" w:eastAsia="宋体" w:cs="宋体"/>
                <w:spacing w:val="-15"/>
                <w:sz w:val="21"/>
                <w:szCs w:val="21"/>
              </w:rPr>
              <w:t>训</w:t>
            </w:r>
            <w:r>
              <w:rPr>
                <w:rFonts w:hint="eastAsia" w:ascii="宋体" w:hAnsi="宋体" w:eastAsia="宋体" w:cs="宋体"/>
                <w:spacing w:val="-10"/>
                <w:sz w:val="21"/>
                <w:szCs w:val="21"/>
              </w:rPr>
              <w:t>室</w:t>
            </w:r>
          </w:p>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0"/>
                <w:sz w:val="21"/>
                <w:szCs w:val="21"/>
              </w:rPr>
              <w:t>1间</w:t>
            </w: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工作</w:t>
            </w:r>
            <w:r>
              <w:rPr>
                <w:rFonts w:hint="eastAsia" w:ascii="宋体" w:hAnsi="宋体" w:eastAsia="宋体" w:cs="宋体"/>
                <w:spacing w:val="2"/>
                <w:sz w:val="21"/>
                <w:szCs w:val="21"/>
              </w:rPr>
              <w:t>台</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4</w:t>
            </w:r>
            <w:r>
              <w:rPr>
                <w:rFonts w:hint="eastAsia" w:ascii="宋体" w:hAnsi="宋体" w:eastAsia="宋体" w:cs="宋体"/>
                <w:spacing w:val="-5"/>
                <w:sz w:val="21"/>
                <w:szCs w:val="21"/>
              </w:rPr>
              <w:t>0</w:t>
            </w:r>
            <w:r>
              <w:rPr>
                <w:rFonts w:hint="eastAsia" w:ascii="宋体" w:hAnsi="宋体" w:eastAsia="宋体" w:cs="宋体"/>
                <w:spacing w:val="-3"/>
                <w:sz w:val="21"/>
                <w:szCs w:val="21"/>
              </w:rPr>
              <w:t>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2"/>
                <w:sz w:val="21"/>
                <w:szCs w:val="21"/>
              </w:rPr>
              <w:t>手</w:t>
            </w:r>
            <w:r>
              <w:rPr>
                <w:rFonts w:hint="eastAsia" w:ascii="宋体" w:hAnsi="宋体" w:eastAsia="宋体" w:cs="宋体"/>
                <w:spacing w:val="7"/>
                <w:sz w:val="21"/>
                <w:szCs w:val="21"/>
              </w:rPr>
              <w:t>工制品操作工具</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0"/>
                <w:sz w:val="21"/>
                <w:szCs w:val="21"/>
              </w:rPr>
              <w:t>4</w:t>
            </w:r>
            <w:r>
              <w:rPr>
                <w:rFonts w:hint="eastAsia" w:ascii="宋体" w:hAnsi="宋体" w:eastAsia="宋体" w:cs="宋体"/>
                <w:spacing w:val="-9"/>
                <w:sz w:val="21"/>
                <w:szCs w:val="21"/>
              </w:rPr>
              <w:t>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教</w:t>
            </w:r>
            <w:r>
              <w:rPr>
                <w:rFonts w:hint="eastAsia" w:ascii="宋体" w:hAnsi="宋体" w:eastAsia="宋体" w:cs="宋体"/>
                <w:spacing w:val="7"/>
                <w:sz w:val="21"/>
                <w:szCs w:val="21"/>
              </w:rPr>
              <w:t>师用计算机</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4"/>
                <w:sz w:val="21"/>
                <w:szCs w:val="21"/>
              </w:rPr>
              <w:t>1</w:t>
            </w:r>
            <w:r>
              <w:rPr>
                <w:rFonts w:hint="eastAsia" w:ascii="宋体" w:hAnsi="宋体" w:eastAsia="宋体" w:cs="宋体"/>
                <w:spacing w:val="-12"/>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3</w:t>
            </w:r>
            <w:r>
              <w:rPr>
                <w:rFonts w:hint="eastAsia" w:ascii="宋体" w:hAnsi="宋体" w:eastAsia="宋体" w:cs="宋体"/>
                <w:spacing w:val="-4"/>
                <w:sz w:val="21"/>
                <w:szCs w:val="21"/>
              </w:rPr>
              <w:t>D打印机</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4"/>
                <w:sz w:val="21"/>
                <w:szCs w:val="21"/>
              </w:rPr>
              <w:t>1</w:t>
            </w:r>
            <w:r>
              <w:rPr>
                <w:rFonts w:hint="eastAsia" w:ascii="宋体" w:hAnsi="宋体" w:eastAsia="宋体" w:cs="宋体"/>
                <w:spacing w:val="-12"/>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restart"/>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619" w:type="dxa"/>
            <w:vMerge w:val="restart"/>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pacing w:val="4"/>
                <w:sz w:val="21"/>
                <w:szCs w:val="21"/>
              </w:rPr>
            </w:pPr>
            <w:r>
              <w:rPr>
                <w:rFonts w:hint="eastAsia" w:ascii="宋体" w:hAnsi="宋体" w:eastAsia="宋体" w:cs="宋体"/>
                <w:spacing w:val="6"/>
                <w:sz w:val="21"/>
                <w:szCs w:val="21"/>
              </w:rPr>
              <w:t>陶</w:t>
            </w:r>
            <w:r>
              <w:rPr>
                <w:rFonts w:hint="eastAsia" w:ascii="宋体" w:hAnsi="宋体" w:eastAsia="宋体" w:cs="宋体"/>
                <w:spacing w:val="4"/>
                <w:sz w:val="21"/>
                <w:szCs w:val="21"/>
              </w:rPr>
              <w:t>艺工作室</w:t>
            </w:r>
          </w:p>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lang w:val="en-US" w:eastAsia="zh-CN"/>
              </w:rPr>
            </w:pPr>
            <w:r>
              <w:rPr>
                <w:rFonts w:hint="eastAsia" w:ascii="宋体" w:hAnsi="宋体" w:eastAsia="宋体" w:cs="宋体"/>
                <w:spacing w:val="4"/>
                <w:sz w:val="21"/>
                <w:szCs w:val="21"/>
                <w:lang w:val="en-US" w:eastAsia="zh-CN"/>
              </w:rPr>
              <w:t>1间</w:t>
            </w: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拉胚</w:t>
            </w:r>
            <w:r>
              <w:rPr>
                <w:rFonts w:hint="eastAsia" w:ascii="宋体" w:hAnsi="宋体" w:eastAsia="宋体" w:cs="宋体"/>
                <w:spacing w:val="4"/>
                <w:sz w:val="21"/>
                <w:szCs w:val="21"/>
              </w:rPr>
              <w:t>机</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2</w:t>
            </w:r>
            <w:r>
              <w:rPr>
                <w:rFonts w:hint="eastAsia" w:ascii="宋体" w:hAnsi="宋体" w:eastAsia="宋体" w:cs="宋体"/>
                <w:spacing w:val="-4"/>
                <w:sz w:val="21"/>
                <w:szCs w:val="21"/>
              </w:rPr>
              <w:t>0个工位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泥板</w:t>
            </w:r>
            <w:r>
              <w:rPr>
                <w:rFonts w:hint="eastAsia" w:ascii="宋体" w:hAnsi="宋体" w:eastAsia="宋体" w:cs="宋体"/>
                <w:spacing w:val="4"/>
                <w:sz w:val="21"/>
                <w:szCs w:val="21"/>
              </w:rPr>
              <w:t>机</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4"/>
                <w:sz w:val="21"/>
                <w:szCs w:val="21"/>
              </w:rPr>
              <w:t>1</w:t>
            </w:r>
            <w:r>
              <w:rPr>
                <w:rFonts w:hint="eastAsia" w:ascii="宋体" w:hAnsi="宋体" w:eastAsia="宋体" w:cs="宋体"/>
                <w:spacing w:val="-12"/>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搅</w:t>
            </w:r>
            <w:r>
              <w:rPr>
                <w:rFonts w:hint="eastAsia" w:ascii="宋体" w:hAnsi="宋体" w:eastAsia="宋体" w:cs="宋体"/>
                <w:spacing w:val="4"/>
                <w:sz w:val="21"/>
                <w:szCs w:val="21"/>
              </w:rPr>
              <w:t>泥机</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4"/>
                <w:sz w:val="21"/>
                <w:szCs w:val="21"/>
              </w:rPr>
              <w:t>1</w:t>
            </w:r>
            <w:r>
              <w:rPr>
                <w:rFonts w:hint="eastAsia" w:ascii="宋体" w:hAnsi="宋体" w:eastAsia="宋体" w:cs="宋体"/>
                <w:spacing w:val="-12"/>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2"/>
                <w:sz w:val="21"/>
                <w:szCs w:val="21"/>
              </w:rPr>
              <w:t>电</w:t>
            </w:r>
            <w:r>
              <w:rPr>
                <w:rFonts w:hint="eastAsia" w:ascii="宋体" w:hAnsi="宋体" w:eastAsia="宋体" w:cs="宋体"/>
                <w:spacing w:val="-11"/>
                <w:sz w:val="21"/>
                <w:szCs w:val="21"/>
              </w:rPr>
              <w:t>窑</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4"/>
                <w:sz w:val="21"/>
                <w:szCs w:val="21"/>
              </w:rPr>
              <w:t>1</w:t>
            </w:r>
            <w:r>
              <w:rPr>
                <w:rFonts w:hint="eastAsia" w:ascii="宋体" w:hAnsi="宋体" w:eastAsia="宋体" w:cs="宋体"/>
                <w:spacing w:val="-12"/>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2"/>
                <w:sz w:val="21"/>
                <w:szCs w:val="21"/>
              </w:rPr>
              <w:t>空</w:t>
            </w:r>
            <w:r>
              <w:rPr>
                <w:rFonts w:hint="eastAsia" w:ascii="宋体" w:hAnsi="宋体" w:eastAsia="宋体" w:cs="宋体"/>
                <w:spacing w:val="6"/>
                <w:sz w:val="21"/>
                <w:szCs w:val="21"/>
              </w:rPr>
              <w:t>气压缩机与喷釉枪</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21"/>
                <w:sz w:val="21"/>
                <w:szCs w:val="21"/>
              </w:rPr>
              <w:t>1</w:t>
            </w:r>
            <w:r>
              <w:rPr>
                <w:rFonts w:hint="eastAsia" w:ascii="宋体" w:hAnsi="宋体" w:eastAsia="宋体" w:cs="宋体"/>
                <w:spacing w:val="-2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工作</w:t>
            </w:r>
            <w:r>
              <w:rPr>
                <w:rFonts w:hint="eastAsia" w:ascii="宋体" w:hAnsi="宋体" w:eastAsia="宋体" w:cs="宋体"/>
                <w:spacing w:val="2"/>
                <w:sz w:val="21"/>
                <w:szCs w:val="21"/>
              </w:rPr>
              <w:t>台</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8"/>
                <w:sz w:val="21"/>
                <w:szCs w:val="21"/>
              </w:rPr>
              <w:t>3</w:t>
            </w:r>
            <w:r>
              <w:rPr>
                <w:rFonts w:hint="eastAsia" w:ascii="宋体" w:hAnsi="宋体" w:eastAsia="宋体" w:cs="宋体"/>
                <w:spacing w:val="-5"/>
                <w:sz w:val="21"/>
                <w:szCs w:val="21"/>
              </w:rPr>
              <w:t>0</w:t>
            </w:r>
            <w:r>
              <w:rPr>
                <w:rFonts w:hint="eastAsia" w:ascii="宋体" w:hAnsi="宋体" w:eastAsia="宋体" w:cs="宋体"/>
                <w:spacing w:val="-4"/>
                <w:sz w:val="21"/>
                <w:szCs w:val="21"/>
              </w:rPr>
              <w:t>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3"/>
                <w:sz w:val="21"/>
                <w:szCs w:val="21"/>
              </w:rPr>
              <w:t>雕</w:t>
            </w:r>
            <w:r>
              <w:rPr>
                <w:rFonts w:hint="eastAsia" w:ascii="宋体" w:hAnsi="宋体" w:eastAsia="宋体" w:cs="宋体"/>
                <w:spacing w:val="7"/>
                <w:sz w:val="21"/>
                <w:szCs w:val="21"/>
              </w:rPr>
              <w:t>塑手工操作工具</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3"/>
                <w:sz w:val="21"/>
                <w:szCs w:val="21"/>
              </w:rPr>
              <w:t>3</w:t>
            </w:r>
            <w:r>
              <w:rPr>
                <w:rFonts w:hint="eastAsia" w:ascii="宋体" w:hAnsi="宋体" w:eastAsia="宋体" w:cs="宋体"/>
                <w:spacing w:val="-10"/>
                <w:sz w:val="21"/>
                <w:szCs w:val="21"/>
              </w:rPr>
              <w:t>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restart"/>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619" w:type="dxa"/>
            <w:vMerge w:val="restart"/>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6"/>
                <w:sz w:val="21"/>
                <w:szCs w:val="21"/>
              </w:rPr>
              <w:t>画</w:t>
            </w:r>
            <w:r>
              <w:rPr>
                <w:rFonts w:hint="eastAsia" w:ascii="宋体" w:hAnsi="宋体" w:eastAsia="宋体" w:cs="宋体"/>
                <w:spacing w:val="-13"/>
                <w:sz w:val="21"/>
                <w:szCs w:val="21"/>
              </w:rPr>
              <w:t>室2间</w:t>
            </w: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画架</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7"/>
                <w:sz w:val="21"/>
                <w:szCs w:val="21"/>
              </w:rPr>
              <w:t>画板</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石膏像组</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57"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1619" w:type="dxa"/>
            <w:vMerge w:val="continue"/>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p>
        </w:tc>
        <w:tc>
          <w:tcPr>
            <w:tcW w:w="3049"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美</w:t>
            </w:r>
            <w:r>
              <w:rPr>
                <w:rFonts w:hint="eastAsia" w:ascii="宋体" w:hAnsi="宋体" w:eastAsia="宋体" w:cs="宋体"/>
                <w:spacing w:val="3"/>
                <w:sz w:val="21"/>
                <w:szCs w:val="21"/>
              </w:rPr>
              <w:t>术灯</w:t>
            </w:r>
          </w:p>
        </w:tc>
        <w:tc>
          <w:tcPr>
            <w:tcW w:w="2293" w:type="dxa"/>
            <w:vAlign w:val="center"/>
          </w:tcPr>
          <w:p>
            <w:pPr>
              <w:keepNext w:val="0"/>
              <w:keepLines w:val="0"/>
              <w:pageBreakBefore w:val="0"/>
              <w:kinsoku/>
              <w:wordWrap/>
              <w:overflowPunct/>
              <w:topLinePunct w:val="0"/>
              <w:autoSpaceDE/>
              <w:autoSpaceDN/>
              <w:bidi w:val="0"/>
              <w:adjustRightInd/>
              <w:spacing w:line="24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9"/>
                <w:sz w:val="21"/>
                <w:szCs w:val="21"/>
              </w:rPr>
              <w:t>1</w:t>
            </w:r>
            <w:r>
              <w:rPr>
                <w:rFonts w:hint="eastAsia" w:ascii="宋体" w:hAnsi="宋体" w:eastAsia="宋体" w:cs="宋体"/>
                <w:spacing w:val="-8"/>
                <w:sz w:val="21"/>
                <w:szCs w:val="21"/>
              </w:rPr>
              <w:t>0</w:t>
            </w:r>
          </w:p>
        </w:tc>
      </w:tr>
    </w:tbl>
    <w:p>
      <w:pPr>
        <w:pageBreakBefore w:val="0"/>
        <w:numPr>
          <w:ilvl w:val="0"/>
          <w:numId w:val="0"/>
        </w:numPr>
        <w:kinsoku/>
        <w:wordWrap/>
        <w:overflowPunct/>
        <w:topLinePunct w:val="0"/>
        <w:autoSpaceDE/>
        <w:autoSpaceDN/>
        <w:bidi w:val="0"/>
        <w:spacing w:line="440" w:lineRule="exact"/>
        <w:ind w:leftChars="200"/>
        <w:textAlignment w:val="auto"/>
        <w:outlineLvl w:val="2"/>
        <w:rPr>
          <w:rFonts w:hint="eastAsia" w:ascii="宋体" w:hAnsi="宋体" w:eastAsia="宋体" w:cs="宋体"/>
          <w:b/>
          <w:color w:val="auto"/>
          <w:sz w:val="24"/>
          <w:szCs w:val="24"/>
          <w:lang w:val="en-US" w:eastAsia="zh-CN" w:bidi="ar"/>
        </w:rPr>
      </w:pPr>
      <w:r>
        <w:rPr>
          <w:rFonts w:hint="eastAsia" w:ascii="宋体" w:hAnsi="宋体" w:eastAsia="宋体" w:cs="宋体"/>
          <w:b/>
          <w:color w:val="auto"/>
          <w:sz w:val="24"/>
          <w:szCs w:val="24"/>
          <w:lang w:val="en-US" w:eastAsia="zh-CN" w:bidi="ar"/>
        </w:rPr>
        <w:t>3.校外实习基地</w:t>
      </w:r>
      <w:bookmarkEnd w:id="78"/>
      <w:bookmarkEnd w:id="79"/>
      <w:bookmarkStart w:id="80" w:name="_Toc24140"/>
      <w:bookmarkStart w:id="81" w:name="_Toc9206"/>
    </w:p>
    <w:bookmarkEnd w:id="80"/>
    <w:bookmarkEnd w:id="81"/>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业按照《职业学校学生实习管理规定》《职业学校校企合作促进办法》等对实习单位的有关要求，经实地考察后，遴选和确定合法经营、管理规范，实习条件完备且符合产业发展实际、符合安全生产法律法规要求的行业企业作为校外实训和就业基地。</w:t>
      </w:r>
    </w:p>
    <w:p>
      <w:pPr>
        <w:pStyle w:val="4"/>
        <w:bidi w:val="0"/>
        <w:rPr>
          <w:rFonts w:hint="eastAsia"/>
          <w:color w:val="auto"/>
        </w:rPr>
      </w:pPr>
      <w:bookmarkStart w:id="82" w:name="_Toc14465"/>
      <w:bookmarkStart w:id="83" w:name="_Toc25610"/>
      <w:bookmarkStart w:id="84" w:name="_Toc25880"/>
      <w:bookmarkStart w:id="85" w:name="_Toc6112"/>
      <w:bookmarkStart w:id="86" w:name="_Toc18412"/>
      <w:r>
        <w:rPr>
          <w:rFonts w:hint="eastAsia"/>
          <w:color w:val="auto"/>
        </w:rPr>
        <w:t>（三）教学资源</w:t>
      </w:r>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教学资源主要包括能够满足学生专业学习、教师专业教学研究和教学实施需求的教材、图书及数字化资源等。</w:t>
      </w:r>
    </w:p>
    <w:p>
      <w:pPr>
        <w:keepNext/>
        <w:keepLines/>
        <w:widowControl w:val="0"/>
        <w:bidi w:val="0"/>
        <w:spacing w:before="30" w:beforeLines="30" w:beforeAutospacing="0" w:after="30" w:afterLines="30" w:afterAutospacing="0" w:line="460" w:lineRule="exact"/>
        <w:ind w:firstLine="482" w:firstLineChars="200"/>
        <w:jc w:val="both"/>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1.教材选用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TW"/>
        </w:rPr>
        <w:t>严格执行国家和广东省关于教材选用的有关要求</w:t>
      </w:r>
      <w:r>
        <w:rPr>
          <w:rFonts w:hint="eastAsia" w:ascii="宋体" w:hAnsi="宋体" w:eastAsia="宋体" w:cs="宋体"/>
          <w:color w:val="auto"/>
          <w:sz w:val="24"/>
          <w:lang w:val="en-US" w:eastAsia="zh-CN"/>
        </w:rPr>
        <w:t>，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pPr>
        <w:keepNext/>
        <w:keepLines/>
        <w:widowControl w:val="0"/>
        <w:bidi w:val="0"/>
        <w:spacing w:before="30" w:beforeLines="30" w:beforeAutospacing="0" w:after="30" w:afterLines="30" w:afterAutospacing="0" w:line="460" w:lineRule="exact"/>
        <w:ind w:firstLine="482" w:firstLineChars="200"/>
        <w:jc w:val="both"/>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2.图书文献配备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CN"/>
        </w:rPr>
        <w:t>图书资料</w:t>
      </w:r>
      <w:r>
        <w:rPr>
          <w:rFonts w:hint="eastAsia" w:ascii="宋体" w:hAnsi="宋体" w:eastAsia="宋体" w:cs="宋体"/>
          <w:color w:val="auto"/>
          <w:sz w:val="24"/>
          <w:lang w:val="en-US" w:eastAsia="zh-CN"/>
        </w:rPr>
        <w:t>采购要求与艺术设计与工艺专业配套，应能满足人才培养、专业建设、教科研等工作的需要</w:t>
      </w:r>
      <w:r>
        <w:rPr>
          <w:rFonts w:hint="eastAsia" w:ascii="宋体" w:hAnsi="宋体" w:eastAsia="宋体" w:cs="宋体"/>
          <w:color w:val="auto"/>
          <w:sz w:val="24"/>
          <w:lang w:val="zh-TW" w:eastAsia="zh-CN"/>
        </w:rPr>
        <w:t>；</w:t>
      </w:r>
      <w:r>
        <w:rPr>
          <w:rFonts w:hint="eastAsia" w:ascii="宋体" w:hAnsi="宋体" w:eastAsia="宋体" w:cs="宋体"/>
          <w:color w:val="auto"/>
          <w:sz w:val="24"/>
          <w:lang w:val="zh-TW" w:eastAsia="zh-TW"/>
        </w:rPr>
        <w:t>图书馆藏书包括印刷图书和电子图书，其中以印刷图书为主，每年保持一定数量的图书更新，充分满足师生图书借阅需要；图书馆应管理规范，设有电子阅览室，图书馆管理人员应具备良好的图书馆专业知识与专业技能，不断提高现代化管理程度。</w:t>
      </w:r>
    </w:p>
    <w:p>
      <w:pPr>
        <w:keepNext/>
        <w:keepLines/>
        <w:widowControl w:val="0"/>
        <w:bidi w:val="0"/>
        <w:spacing w:before="30" w:beforeLines="30" w:beforeAutospacing="0" w:after="30" w:afterLines="30" w:afterAutospacing="0" w:line="460" w:lineRule="exact"/>
        <w:ind w:firstLine="482" w:firstLineChars="200"/>
        <w:jc w:val="both"/>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3.数字教学资源配置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TW" w:eastAsia="zh-TW"/>
        </w:rPr>
        <w:t>根据教学实际需要组织学校与行业、企业共同建设共享型精品课程信息化教学资源。</w:t>
      </w:r>
      <w:r>
        <w:rPr>
          <w:rFonts w:hint="eastAsia" w:ascii="宋体" w:hAnsi="宋体" w:eastAsia="宋体" w:cs="宋体"/>
          <w:color w:val="auto"/>
          <w:sz w:val="24"/>
          <w:lang w:val="en-US" w:eastAsia="zh-CN"/>
        </w:rPr>
        <w:t>配备与本专业（群）有关的音视频素材、教学课件、数字化教学案例库、虚拟仿真软件、数字教材等专业教学资源库，种类丰富、形式多样、使用便捷、动态更新、满足教学。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学校将提供硬件设备保障，如服务器、网络、设备终端等。教学资源建设如纳入信息化项目建设，将按照相关建设要求进行申报、建设。</w:t>
      </w:r>
    </w:p>
    <w:p>
      <w:pPr>
        <w:pStyle w:val="4"/>
        <w:bidi w:val="0"/>
        <w:rPr>
          <w:rFonts w:hint="eastAsia"/>
          <w:color w:val="auto"/>
        </w:rPr>
      </w:pPr>
      <w:bookmarkStart w:id="87" w:name="_Toc18139"/>
      <w:bookmarkStart w:id="88" w:name="_Toc31772"/>
      <w:bookmarkStart w:id="89" w:name="_Toc1552"/>
      <w:bookmarkStart w:id="90" w:name="_Toc24185"/>
      <w:bookmarkStart w:id="91" w:name="_Toc9715"/>
      <w:r>
        <w:rPr>
          <w:rFonts w:hint="eastAsia"/>
          <w:color w:val="auto"/>
        </w:rPr>
        <w:t>（四）教学实施</w:t>
      </w:r>
      <w:bookmarkEnd w:id="87"/>
      <w:bookmarkEnd w:id="88"/>
      <w:bookmarkEnd w:id="89"/>
      <w:bookmarkEnd w:id="90"/>
      <w:bookmarkEnd w:id="9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以实际岗位工作过程引领教学，实现专业设置与职业岗位对接、课程内容与职位标准对接、教学过程与生产过程对接、毕业证书与职业证书对接、职业教育与终身教育对接。推动教师、教材、教法改革，教师要准确把握课程教学要求，做好课程总体设计，规范编写和严格执行教案，按程序选用教材，合理运用各类教学资源，做好教学组织实施。</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1.公共基础课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公共基础课的任务是依据教育部统颁的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2.专业课程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专业的核心课程任务是培养学生掌握必要的相关专业知识，以及各个方向都需要的比较熟练的职业技能，提高学生就业创业能力和适应职业变化的能力。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3.实践教学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实践教学是专业技能课程教学的重要内容，是培养学生良好的职业道德，强化学生实践能力，提高综合职业能力的重要环节。坚持工学结合、校企合作，强化教学、学习、实训相融合的教育教学活动，重视校内教学实训，特别是生产性实训。加强专业实践课程教学、加大实训实习在教学中的比重，完善专业实践课程体系。要按照专业培养目标的要求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pPr>
        <w:pStyle w:val="4"/>
        <w:bidi w:val="0"/>
        <w:rPr>
          <w:rFonts w:hint="eastAsia"/>
          <w:color w:val="auto"/>
        </w:rPr>
      </w:pPr>
      <w:bookmarkStart w:id="92" w:name="_Toc11716"/>
      <w:bookmarkStart w:id="93" w:name="_Toc21806"/>
      <w:bookmarkStart w:id="94" w:name="_Toc16334"/>
      <w:bookmarkStart w:id="95" w:name="_Toc21367"/>
      <w:bookmarkStart w:id="96" w:name="_Toc29798"/>
      <w:r>
        <w:rPr>
          <w:rFonts w:hint="eastAsia"/>
          <w:color w:val="auto"/>
        </w:rPr>
        <w:t>（五）学习评价</w:t>
      </w:r>
      <w:bookmarkEnd w:id="92"/>
      <w:bookmarkEnd w:id="93"/>
      <w:bookmarkEnd w:id="94"/>
      <w:bookmarkEnd w:id="95"/>
      <w:bookmarkEnd w:id="96"/>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1.专业课程考核评价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pPr>
        <w:bidi w:val="0"/>
        <w:spacing w:line="440" w:lineRule="exact"/>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（1）过程性考核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pPr>
        <w:bidi w:val="0"/>
        <w:spacing w:line="440" w:lineRule="exact"/>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（2）结果性考核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主要用于考核学生对课程知识的理解和掌握，通过期末考试或答辩等方式来进行考核评价。</w:t>
      </w:r>
    </w:p>
    <w:p>
      <w:pPr>
        <w:bidi w:val="0"/>
        <w:spacing w:line="440" w:lineRule="exact"/>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（3）课程总体评价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根据课程的目标与过程性考核评价成绩、终结性考核评价的相关程度，按比例计入课程期末成绩。</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2.岗位实习课程的考核评价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成立由企业（兼职）指导教师、专业指导教师和辅导员（或班主任）组成的考核组，主要对学生在实习期间的劳动纪律、工作态度、团队合作精神、人际沟通能力、专业技术能力和任务完成等方面情况进行考核评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职业素养及各科成绩合格，身体健康，无违纪违法行为，准予毕业。</w:t>
      </w:r>
    </w:p>
    <w:p>
      <w:pPr>
        <w:pStyle w:val="4"/>
        <w:bidi w:val="0"/>
        <w:rPr>
          <w:rFonts w:hint="eastAsia"/>
          <w:color w:val="auto"/>
        </w:rPr>
      </w:pPr>
      <w:bookmarkStart w:id="97" w:name="_Toc19132"/>
      <w:bookmarkStart w:id="98" w:name="_Toc2531"/>
      <w:bookmarkStart w:id="99" w:name="_Toc20735"/>
      <w:bookmarkStart w:id="100" w:name="_Toc23149"/>
      <w:bookmarkStart w:id="101" w:name="_Toc28192"/>
      <w:r>
        <w:rPr>
          <w:rFonts w:hint="eastAsia"/>
          <w:color w:val="auto"/>
        </w:rPr>
        <w:t>（六）质量管理</w:t>
      </w:r>
      <w:bookmarkEnd w:id="97"/>
      <w:bookmarkEnd w:id="98"/>
      <w:bookmarkEnd w:id="99"/>
      <w:bookmarkEnd w:id="100"/>
      <w:bookmarkEnd w:id="101"/>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1.教学策略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业群内各专业课程的教学，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pPr>
        <w:keepNext/>
        <w:keepLines/>
        <w:pageBreakBefore w:val="0"/>
        <w:widowControl w:val="0"/>
        <w:kinsoku/>
        <w:wordWrap/>
        <w:overflowPunct/>
        <w:topLinePunct w:val="0"/>
        <w:autoSpaceDE/>
        <w:autoSpaceDN/>
        <w:bidi w:val="0"/>
        <w:adjustRightInd/>
        <w:snapToGrid/>
        <w:spacing w:beforeAutospacing="0" w:afterAutospacing="0" w:line="460" w:lineRule="exact"/>
        <w:ind w:firstLine="482" w:firstLineChars="200"/>
        <w:jc w:val="both"/>
        <w:textAlignment w:val="auto"/>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2.教学管理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为了保障人才培养方案的顺利实施，确保人才质量，依据学校人才培养模式改革的教学管理体系和质量监控体系，形成由目标、实施、质量标准、评价与反馈、调控等环节构成的闭环管理模式。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drawing>
          <wp:inline distT="0" distB="0" distL="114300" distR="114300">
            <wp:extent cx="5158105" cy="842645"/>
            <wp:effectExtent l="9525" t="9525" r="13970" b="1460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5158105" cy="842645"/>
                    </a:xfrm>
                    <a:prstGeom prst="rect">
                      <a:avLst/>
                    </a:prstGeom>
                    <a:noFill/>
                    <a:ln>
                      <a:solidFill>
                        <a:schemeClr val="tx1"/>
                      </a:solid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建立学校、专业部两级的质量保障体系，校级由教学督导、专家组成小组开展教学质量监控，专业部由主任、教研组长、专业带头人、高级职称教师组成小组开展课堂听课。运用信息化手段落实教学质量措施，提高人才培养质量各环节的工作。</w:t>
      </w:r>
    </w:p>
    <w:p>
      <w:pPr>
        <w:bidi w:val="0"/>
        <w:spacing w:line="440" w:lineRule="exact"/>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（1）学校层面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落实学生评教制度，收集学生对教师教学情况的评价信息，同时每学期在期中教学质量检查中召开学生座谈会、开展问卷调查，把评教制度落到实处；加强教学督导，学校教学督导组对所有教学活动、各个教学环节、每位科任教师进行经常性的随机督查，并对督导结果进行分析、提出处理意见和工作建议；重视用人单位对教学的意见，广泛听取用人单位（企业）对人才培养工作的意见与建议，在对反馈信息进行认真分析的基础上提出整改意见。</w:t>
      </w:r>
    </w:p>
    <w:p>
      <w:pPr>
        <w:bidi w:val="0"/>
        <w:spacing w:line="440" w:lineRule="exact"/>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（2）专业系层面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专业系在学校管理体系的基础上，根据专业自身特点进一步完善教学管理制度，对教学质量监控体系形成有效的补充。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教学管理要更新理念，改变传统的教学管理方式，以工艺品设计与制作的行业规范为实际的教学管理要求。教学管理要有一定的规范性和灵活性，合理调配教师、实训室和实训场地等教学资源，为课程的实施创造条件；要加强对教学过程的质量监控，改革教学评价的标准和方法，促进教师教学能力的提升，保证教学质量。</w:t>
      </w:r>
    </w:p>
    <w:p>
      <w:pPr>
        <w:keepNext/>
        <w:keepLines/>
        <w:widowControl w:val="0"/>
        <w:numPr>
          <w:ilvl w:val="0"/>
          <w:numId w:val="2"/>
        </w:numPr>
        <w:bidi w:val="0"/>
        <w:spacing w:before="30" w:beforeLines="30" w:beforeAutospacing="0" w:after="30" w:afterLines="30" w:afterAutospacing="0" w:line="460" w:lineRule="exact"/>
        <w:ind w:firstLine="602" w:firstLineChars="200"/>
        <w:jc w:val="both"/>
        <w:outlineLvl w:val="0"/>
        <w:rPr>
          <w:rFonts w:hint="eastAsia" w:eastAsia="黑体" w:asciiTheme="minorAscii" w:hAnsiTheme="minorAscii" w:cstheme="minorBidi"/>
          <w:b/>
          <w:color w:val="auto"/>
          <w:kern w:val="44"/>
          <w:sz w:val="30"/>
          <w:szCs w:val="24"/>
          <w:lang w:val="en-US" w:eastAsia="zh-CN" w:bidi="ar-SA"/>
        </w:rPr>
      </w:pPr>
      <w:bookmarkStart w:id="102" w:name="_Toc26519"/>
      <w:bookmarkStart w:id="103" w:name="_Toc3451"/>
      <w:r>
        <w:rPr>
          <w:rFonts w:hint="eastAsia" w:eastAsia="黑体" w:asciiTheme="minorAscii" w:hAnsiTheme="minorAscii" w:cstheme="minorBidi"/>
          <w:b/>
          <w:color w:val="auto"/>
          <w:kern w:val="44"/>
          <w:sz w:val="30"/>
          <w:szCs w:val="24"/>
          <w:lang w:val="en-US" w:eastAsia="zh-CN" w:bidi="ar-SA"/>
        </w:rPr>
        <w:t>毕业要求</w:t>
      </w:r>
      <w:bookmarkEnd w:id="102"/>
      <w:bookmarkEnd w:id="10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lang w:val="en-US" w:eastAsia="zh-CN"/>
        </w:rPr>
      </w:pPr>
      <w:bookmarkStart w:id="104" w:name="_Toc11473"/>
      <w:r>
        <w:rPr>
          <w:rFonts w:hint="default" w:ascii="宋体" w:hAnsi="宋体" w:eastAsia="宋体" w:cs="宋体"/>
          <w:color w:val="auto"/>
          <w:sz w:val="24"/>
          <w:lang w:val="en-US" w:eastAsia="zh-CN"/>
        </w:rPr>
        <w:t>学生通过三学年的学习，根据阳江市第一职业技术学校专业培养特色及专业培养目标的要求，通过公共基础课程、专业技能课程教学、技能竞赛等教学环节，使毕业生达到人才培养目标和规格的要求，成绩合格，修满规定的学分</w:t>
      </w:r>
      <w:bookmarkEnd w:id="104"/>
      <w:r>
        <w:rPr>
          <w:rFonts w:hint="default" w:ascii="宋体" w:hAnsi="宋体" w:eastAsia="宋体" w:cs="宋体"/>
          <w:color w:val="auto"/>
          <w:sz w:val="24"/>
          <w:lang w:val="en-US" w:eastAsia="zh-CN"/>
        </w:rPr>
        <w:t>。</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汉仪粗仿宋简">
    <w:altName w:val="宋体"/>
    <w:panose1 w:val="00000000000000000000"/>
    <w:charset w:val="86"/>
    <w:family w:val="auto"/>
    <w:pitch w:val="default"/>
    <w:sig w:usb0="00000000" w:usb1="00000000" w:usb2="00000012" w:usb3="00000000" w:csb0="00040000" w:csb1="00000000"/>
  </w:font>
  <w:font w:name="楷体">
    <w:panose1 w:val="02010609060101010101"/>
    <w:charset w:val="86"/>
    <w:family w:val="modern"/>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D28D4"/>
    <w:multiLevelType w:val="multilevel"/>
    <w:tmpl w:val="9B5D28D4"/>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960" w:firstLine="0"/>
      </w:pPr>
      <w:rPr>
        <w:rFonts w:hint="eastAsia"/>
        <w:sz w:val="24"/>
        <w:szCs w:val="24"/>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B0A8CCBE"/>
    <w:multiLevelType w:val="singleLevel"/>
    <w:tmpl w:val="B0A8CCBE"/>
    <w:lvl w:ilvl="0" w:tentative="0">
      <w:start w:val="1"/>
      <w:numFmt w:val="chineseCounting"/>
      <w:suff w:val="nothing"/>
      <w:lvlText w:val="%1、"/>
      <w:lvlJc w:val="left"/>
      <w:rPr>
        <w:rFonts w:hint="eastAsia"/>
      </w:rPr>
    </w:lvl>
  </w:abstractNum>
  <w:abstractNum w:abstractNumId="2">
    <w:nsid w:val="C30A9A31"/>
    <w:multiLevelType w:val="singleLevel"/>
    <w:tmpl w:val="C30A9A31"/>
    <w:lvl w:ilvl="0" w:tentative="0">
      <w:start w:val="1"/>
      <w:numFmt w:val="chineseCounting"/>
      <w:suff w:val="nothing"/>
      <w:lvlText w:val="（%1）"/>
      <w:lvlJc w:val="left"/>
      <w:pPr>
        <w:ind w:left="0" w:firstLine="420"/>
      </w:pPr>
      <w:rPr>
        <w:rFonts w:hint="eastAsia"/>
      </w:rPr>
    </w:lvl>
  </w:abstractNum>
  <w:abstractNum w:abstractNumId="3">
    <w:nsid w:val="C405B2A6"/>
    <w:multiLevelType w:val="singleLevel"/>
    <w:tmpl w:val="C405B2A6"/>
    <w:lvl w:ilvl="0" w:tentative="0">
      <w:start w:val="1"/>
      <w:numFmt w:val="chineseCounting"/>
      <w:suff w:val="nothing"/>
      <w:lvlText w:val="（%1）"/>
      <w:lvlJc w:val="left"/>
      <w:pPr>
        <w:ind w:left="0" w:firstLine="420"/>
      </w:pPr>
      <w:rPr>
        <w:rFonts w:hint="eastAsia"/>
      </w:rPr>
    </w:lvl>
  </w:abstractNum>
  <w:abstractNum w:abstractNumId="4">
    <w:nsid w:val="63E711E2"/>
    <w:multiLevelType w:val="singleLevel"/>
    <w:tmpl w:val="63E711E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M2I2NmJiNTQ3MDlkZmNiNTZhZDQ5MjU1NmM3ZTUifQ=="/>
  </w:docVars>
  <w:rsids>
    <w:rsidRoot w:val="00000000"/>
    <w:rsid w:val="01D944BB"/>
    <w:rsid w:val="044F54C0"/>
    <w:rsid w:val="0ACF5E3A"/>
    <w:rsid w:val="0E811D23"/>
    <w:rsid w:val="11515ABE"/>
    <w:rsid w:val="133C3DD0"/>
    <w:rsid w:val="145B2045"/>
    <w:rsid w:val="14C71DFA"/>
    <w:rsid w:val="159B4C9D"/>
    <w:rsid w:val="15FD7FC2"/>
    <w:rsid w:val="16685D83"/>
    <w:rsid w:val="18115FA7"/>
    <w:rsid w:val="184078B1"/>
    <w:rsid w:val="18D459CC"/>
    <w:rsid w:val="1B716977"/>
    <w:rsid w:val="1BD15A56"/>
    <w:rsid w:val="1E2F48A5"/>
    <w:rsid w:val="1FCA3444"/>
    <w:rsid w:val="20F52921"/>
    <w:rsid w:val="21630D7F"/>
    <w:rsid w:val="21E11089"/>
    <w:rsid w:val="21E85FCA"/>
    <w:rsid w:val="228E048C"/>
    <w:rsid w:val="24C44B6B"/>
    <w:rsid w:val="266C6D94"/>
    <w:rsid w:val="270D4440"/>
    <w:rsid w:val="27313BEE"/>
    <w:rsid w:val="2A016C8F"/>
    <w:rsid w:val="2C1C0E8B"/>
    <w:rsid w:val="2D8C1F00"/>
    <w:rsid w:val="2E8567B9"/>
    <w:rsid w:val="2F9F7EAA"/>
    <w:rsid w:val="303F1F47"/>
    <w:rsid w:val="30D0692D"/>
    <w:rsid w:val="30ED3E6F"/>
    <w:rsid w:val="33157D7D"/>
    <w:rsid w:val="34871673"/>
    <w:rsid w:val="39262FEA"/>
    <w:rsid w:val="39567387"/>
    <w:rsid w:val="3B567FF1"/>
    <w:rsid w:val="3CEF66DE"/>
    <w:rsid w:val="3D6D2E4D"/>
    <w:rsid w:val="40D53766"/>
    <w:rsid w:val="42F779C3"/>
    <w:rsid w:val="438359FB"/>
    <w:rsid w:val="441B5E2C"/>
    <w:rsid w:val="449750E1"/>
    <w:rsid w:val="44CE0BF8"/>
    <w:rsid w:val="49321034"/>
    <w:rsid w:val="4BB46D99"/>
    <w:rsid w:val="4DB17E43"/>
    <w:rsid w:val="4EBB4D5F"/>
    <w:rsid w:val="510D0331"/>
    <w:rsid w:val="539749BA"/>
    <w:rsid w:val="55365A16"/>
    <w:rsid w:val="55B3231F"/>
    <w:rsid w:val="5C3B0975"/>
    <w:rsid w:val="5DC03C32"/>
    <w:rsid w:val="5EFF163B"/>
    <w:rsid w:val="5F5F6BC4"/>
    <w:rsid w:val="61730705"/>
    <w:rsid w:val="631E0B0B"/>
    <w:rsid w:val="673F4831"/>
    <w:rsid w:val="6A164324"/>
    <w:rsid w:val="6D480C98"/>
    <w:rsid w:val="6DB04E0C"/>
    <w:rsid w:val="6DBA43A7"/>
    <w:rsid w:val="6EBB00A3"/>
    <w:rsid w:val="71777222"/>
    <w:rsid w:val="73F074CB"/>
    <w:rsid w:val="75093403"/>
    <w:rsid w:val="76245C51"/>
    <w:rsid w:val="766A1C7F"/>
    <w:rsid w:val="76864083"/>
    <w:rsid w:val="76E7500A"/>
    <w:rsid w:val="77141821"/>
    <w:rsid w:val="782E757F"/>
    <w:rsid w:val="7A224B46"/>
    <w:rsid w:val="7A5A025C"/>
    <w:rsid w:val="7B431001"/>
    <w:rsid w:val="7B9A6074"/>
    <w:rsid w:val="7BC57958"/>
    <w:rsid w:val="7C7B508B"/>
    <w:rsid w:val="7C9D5E76"/>
    <w:rsid w:val="7CF607C6"/>
    <w:rsid w:val="7E852237"/>
    <w:rsid w:val="7F96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numPr>
        <w:ilvl w:val="0"/>
        <w:numId w:val="1"/>
      </w:numPr>
      <w:spacing w:before="30" w:beforeLines="30" w:after="30" w:afterLines="30" w:line="440" w:lineRule="exact"/>
      <w:ind w:firstLine="723" w:firstLineChars="200"/>
      <w:jc w:val="both"/>
      <w:outlineLvl w:val="0"/>
    </w:pPr>
    <w:rPr>
      <w:rFonts w:ascii="Calibri" w:hAnsi="Calibri" w:eastAsia="宋体" w:cs="Times New Roman"/>
      <w:bCs/>
      <w:kern w:val="44"/>
      <w:sz w:val="30"/>
      <w:szCs w:val="44"/>
    </w:rPr>
  </w:style>
  <w:style w:type="paragraph" w:styleId="4">
    <w:name w:val="heading 2"/>
    <w:basedOn w:val="1"/>
    <w:next w:val="1"/>
    <w:unhideWhenUsed/>
    <w:qFormat/>
    <w:uiPriority w:val="0"/>
    <w:pPr>
      <w:keepNext/>
      <w:keepLines/>
      <w:spacing w:before="30" w:beforeLines="30" w:beforeAutospacing="0" w:after="30" w:afterLines="30" w:afterAutospacing="0" w:line="460" w:lineRule="exact"/>
      <w:ind w:firstLine="720" w:firstLineChars="200"/>
      <w:outlineLvl w:val="1"/>
    </w:pPr>
    <w:rPr>
      <w:rFonts w:ascii="Arial" w:hAnsi="Arial" w:eastAsia="华文楷体"/>
      <w:b/>
      <w:sz w:val="28"/>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1">
    <w:name w:val="Default Paragraph Font"/>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ind w:firstLine="560"/>
      <w:jc w:val="both"/>
    </w:pPr>
    <w:rPr>
      <w:rFonts w:ascii="Calibri" w:hAnsi="Calibri" w:eastAsia="汉仪粗仿宋简" w:cs="黑体"/>
      <w:kern w:val="2"/>
      <w:sz w:val="28"/>
      <w:szCs w:val="28"/>
      <w:lang w:val="en-US" w:eastAsia="zh-CN" w:bidi="ar-SA"/>
    </w:rPr>
  </w:style>
  <w:style w:type="paragraph" w:styleId="11">
    <w:name w:val="Normal Indent"/>
    <w:basedOn w:val="1"/>
    <w:qFormat/>
    <w:uiPriority w:val="99"/>
    <w:pPr>
      <w:ind w:firstLine="420" w:firstLineChars="200"/>
    </w:pPr>
  </w:style>
  <w:style w:type="paragraph" w:styleId="12">
    <w:name w:val="caption"/>
    <w:basedOn w:val="1"/>
    <w:next w:val="1"/>
    <w:unhideWhenUsed/>
    <w:qFormat/>
    <w:uiPriority w:val="0"/>
    <w:pPr>
      <w:spacing w:line="240" w:lineRule="auto"/>
      <w:ind w:firstLine="0" w:firstLineChars="0"/>
      <w:jc w:val="center"/>
    </w:pPr>
    <w:rPr>
      <w:rFonts w:ascii="Arial" w:hAnsi="Arial" w:eastAsia="黑体"/>
      <w:sz w:val="20"/>
    </w:rPr>
  </w:style>
  <w:style w:type="paragraph" w:styleId="13">
    <w:name w:val="Body Text"/>
    <w:basedOn w:val="1"/>
    <w:qFormat/>
    <w:uiPriority w:val="0"/>
    <w:pPr>
      <w:ind w:left="151"/>
    </w:pPr>
    <w:rPr>
      <w:rFonts w:ascii="宋体" w:hAnsi="宋体" w:cs="宋体"/>
      <w:sz w:val="28"/>
      <w:szCs w:val="28"/>
      <w:lang w:val="zh-CN" w:bidi="zh-CN"/>
    </w:rPr>
  </w:style>
  <w:style w:type="paragraph" w:styleId="14">
    <w:name w:val="Body Text Indent"/>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Body Text First Indent"/>
    <w:basedOn w:val="13"/>
    <w:unhideWhenUsed/>
    <w:qFormat/>
    <w:uiPriority w:val="99"/>
    <w:pPr>
      <w:spacing w:after="120"/>
      <w:ind w:left="0" w:firstLine="420" w:firstLineChars="100"/>
    </w:pPr>
    <w:rPr>
      <w:rFonts w:ascii="Calibri" w:hAnsi="Calibri" w:cs="Calibri"/>
      <w:sz w:val="21"/>
      <w:szCs w:val="21"/>
      <w:lang w:val="en-US" w:bidi="ar-SA"/>
    </w:rPr>
  </w:style>
  <w:style w:type="paragraph" w:styleId="18">
    <w:name w:val="Body Text First Indent 2"/>
    <w:basedOn w:val="14"/>
    <w:next w:val="13"/>
    <w:qFormat/>
    <w:uiPriority w:val="0"/>
    <w:pPr>
      <w:ind w:firstLine="420" w:firstLineChars="200"/>
    </w:pPr>
    <w:rPr>
      <w:rFonts w:ascii="Times New Roman" w:hAnsi="Times New Roman" w:eastAsia="宋体" w:cs="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0"/>
    <w:rPr>
      <w:i/>
    </w:rPr>
  </w:style>
  <w:style w:type="character" w:styleId="23">
    <w:name w:val="Hyperlink"/>
    <w:basedOn w:val="21"/>
    <w:uiPriority w:val="0"/>
    <w:rPr>
      <w:color w:val="0000FF"/>
      <w:u w:val="single"/>
    </w:rPr>
  </w:style>
  <w:style w:type="character" w:customStyle="1" w:styleId="24">
    <w:name w:val="Heading 1 Char"/>
    <w:basedOn w:val="21"/>
    <w:link w:val="3"/>
    <w:qFormat/>
    <w:uiPriority w:val="9"/>
    <w:rPr>
      <w:rFonts w:ascii="Calibri" w:hAnsi="Calibri" w:eastAsia="宋体" w:cs="Times New Roman"/>
      <w:bCs/>
      <w:kern w:val="44"/>
      <w:sz w:val="28"/>
      <w:szCs w:val="44"/>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12026</Words>
  <Characters>12376</Characters>
  <Lines>0</Lines>
  <Paragraphs>0</Paragraphs>
  <TotalTime>0</TotalTime>
  <ScaleCrop>false</ScaleCrop>
  <LinksUpToDate>false</LinksUpToDate>
  <CharactersWithSpaces>12446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2022-11-05T01:09:00Z</dcterms:created>
  <dc:creator>职教桥周洁</dc:creator>
  <cp:lastModifiedBy>yj</cp:lastModifiedBy>
  <dcterms:modified xsi:type="dcterms:W3CDTF">2023-06-16T07:42:13Z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09A7FBBFFBD147A8ACE4C84EF84447F9_13</vt:lpwstr>
  </property>
</Properties>
</file>