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b/>
          <w:bCs/>
          <w:sz w:val="56"/>
          <w:szCs w:val="56"/>
        </w:rPr>
      </w:pPr>
      <w:bookmarkStart w:id="0" w:name="_Toc16337"/>
      <w:bookmarkStart w:id="1" w:name="_Toc24589"/>
      <w:bookmarkStart w:id="2" w:name="_Toc10776"/>
      <w:r>
        <w:rPr>
          <w:rFonts w:hint="eastAsia" w:ascii="楷体" w:hAnsi="楷体" w:eastAsia="楷体"/>
          <w:b/>
          <w:bCs/>
          <w:sz w:val="24"/>
        </w:rPr>
        <w:t xml:space="preserve">   国家中等职业教育改革发展示范学校</w:t>
      </w:r>
    </w:p>
    <w:p>
      <w:pPr>
        <w:pStyle w:val="19"/>
        <w:spacing w:before="0" w:beforeLines="0" w:after="0" w:line="240" w:lineRule="auto"/>
        <w:ind w:firstLine="0" w:firstLineChars="0"/>
        <w:jc w:val="center"/>
        <w:outlineLvl w:val="0"/>
        <w:rPr>
          <w:rFonts w:ascii="华文行楷" w:hAnsi="华文行楷" w:eastAsia="华文行楷" w:cs="华文行楷"/>
          <w:sz w:val="72"/>
          <w:szCs w:val="144"/>
        </w:rPr>
      </w:pPr>
    </w:p>
    <w:p>
      <w:pPr>
        <w:pStyle w:val="19"/>
        <w:spacing w:before="0" w:beforeLines="0" w:after="0" w:line="240" w:lineRule="auto"/>
        <w:ind w:firstLine="0" w:firstLineChars="0"/>
        <w:jc w:val="center"/>
        <w:outlineLvl w:val="0"/>
        <w:rPr>
          <w:rFonts w:ascii="华文行楷" w:hAnsi="华文行楷" w:eastAsia="华文行楷" w:cs="华文行楷"/>
          <w:sz w:val="72"/>
          <w:szCs w:val="144"/>
        </w:rPr>
      </w:pPr>
    </w:p>
    <w:p>
      <w:pPr>
        <w:pStyle w:val="19"/>
        <w:spacing w:before="0" w:beforeLines="0" w:after="0" w:line="240" w:lineRule="auto"/>
        <w:ind w:firstLine="0" w:firstLineChars="0"/>
        <w:jc w:val="center"/>
        <w:outlineLvl w:val="0"/>
        <w:rPr>
          <w:rFonts w:ascii="华文行楷" w:hAnsi="华文行楷" w:eastAsia="华文行楷" w:cs="华文行楷"/>
          <w:sz w:val="72"/>
          <w:szCs w:val="144"/>
        </w:rPr>
      </w:pPr>
      <w:bookmarkStart w:id="3" w:name="_Hlk80881458"/>
      <w:bookmarkEnd w:id="3"/>
      <w:r>
        <w:rPr>
          <w:rFonts w:asciiTheme="minorEastAsia" w:hAnsiTheme="minorEastAsia" w:cstheme="minorEastAsia"/>
          <w:b/>
          <w:bCs/>
          <w:sz w:val="36"/>
          <w:szCs w:val="44"/>
        </w:rPr>
        <w:drawing>
          <wp:inline distT="0" distB="0" distL="0" distR="0">
            <wp:extent cx="1343025" cy="134239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pPr>
        <w:pStyle w:val="19"/>
        <w:spacing w:before="0" w:beforeLines="0" w:after="0" w:line="240" w:lineRule="auto"/>
        <w:ind w:firstLine="0" w:firstLineChars="0"/>
        <w:jc w:val="center"/>
        <w:outlineLvl w:val="0"/>
        <w:rPr>
          <w:rFonts w:ascii="黑体" w:hAnsi="黑体" w:eastAsia="黑体" w:cs="黑体"/>
          <w:b/>
          <w:sz w:val="52"/>
          <w:szCs w:val="52"/>
          <w:shd w:val="clear" w:color="auto" w:fill="FFFFFF"/>
        </w:rPr>
      </w:pPr>
      <w:r>
        <w:rPr>
          <w:rFonts w:hint="eastAsia" w:ascii="华文行楷" w:hAnsi="华文行楷" w:eastAsia="华文行楷" w:cs="华文行楷"/>
          <w:sz w:val="72"/>
          <w:szCs w:val="144"/>
        </w:rPr>
        <w:t>阳江市第一职业技术学校</w:t>
      </w:r>
      <w:bookmarkEnd w:id="0"/>
    </w:p>
    <w:p>
      <w:pPr>
        <w:spacing w:before="1560" w:beforeLines="500" w:line="360" w:lineRule="auto"/>
        <w:jc w:val="center"/>
        <w:outlineLvl w:val="0"/>
        <w:rPr>
          <w:rFonts w:ascii="黑体" w:hAnsi="黑体" w:eastAsia="黑体" w:cs="黑体"/>
          <w:b/>
          <w:sz w:val="52"/>
          <w:szCs w:val="52"/>
          <w:shd w:val="clear" w:color="auto" w:fill="FFFFFF"/>
        </w:rPr>
      </w:pPr>
      <w:bookmarkStart w:id="4" w:name="_Toc13256"/>
      <w:bookmarkStart w:id="5" w:name="_Toc20710"/>
      <w:bookmarkStart w:id="6" w:name="_Toc19809"/>
      <w:bookmarkStart w:id="7" w:name="_Toc24945"/>
      <w:bookmarkStart w:id="8" w:name="_Toc3655"/>
      <w:r>
        <w:rPr>
          <w:rFonts w:hint="eastAsia" w:ascii="黑体" w:hAnsi="黑体" w:eastAsia="黑体" w:cs="黑体"/>
          <w:b/>
          <w:sz w:val="52"/>
          <w:szCs w:val="52"/>
          <w:shd w:val="clear" w:color="auto" w:fill="FFFFFF"/>
          <w:lang w:eastAsia="zh-CN"/>
        </w:rPr>
        <w:t>服装设计与工艺</w:t>
      </w:r>
      <w:r>
        <w:rPr>
          <w:rFonts w:hint="eastAsia" w:ascii="黑体" w:hAnsi="黑体" w:eastAsia="黑体" w:cs="黑体"/>
          <w:b/>
          <w:sz w:val="52"/>
          <w:szCs w:val="52"/>
          <w:shd w:val="clear" w:color="auto" w:fill="FFFFFF"/>
        </w:rPr>
        <w:t>专业</w:t>
      </w:r>
      <w:bookmarkEnd w:id="4"/>
      <w:bookmarkEnd w:id="5"/>
      <w:bookmarkEnd w:id="6"/>
      <w:bookmarkEnd w:id="7"/>
      <w:bookmarkStart w:id="9" w:name="_Toc30037"/>
    </w:p>
    <w:bookmarkEnd w:id="8"/>
    <w:bookmarkEnd w:id="9"/>
    <w:p>
      <w:pPr>
        <w:spacing w:before="31" w:beforeLines="10" w:line="360" w:lineRule="auto"/>
        <w:jc w:val="center"/>
        <w:outlineLvl w:val="0"/>
        <w:rPr>
          <w:rFonts w:hint="eastAsia" w:ascii="黑体" w:hAnsi="黑体" w:eastAsia="黑体" w:cs="黑体"/>
          <w:b/>
          <w:sz w:val="52"/>
          <w:szCs w:val="52"/>
          <w:shd w:val="clear" w:color="auto" w:fill="FFFFFF"/>
        </w:rPr>
      </w:pPr>
      <w:bookmarkStart w:id="10" w:name="_Toc17212"/>
      <w:r>
        <w:rPr>
          <w:rFonts w:hint="eastAsia" w:ascii="黑体" w:hAnsi="黑体" w:eastAsia="黑体" w:cs="黑体"/>
          <w:b/>
          <w:sz w:val="52"/>
          <w:szCs w:val="52"/>
          <w:shd w:val="clear" w:color="auto" w:fill="FFFFFF"/>
        </w:rPr>
        <w:t>人才培养方案</w:t>
      </w:r>
      <w:bookmarkEnd w:id="10"/>
    </w:p>
    <w:p>
      <w:pPr>
        <w:spacing w:before="31" w:beforeLines="10" w:line="360" w:lineRule="auto"/>
        <w:jc w:val="center"/>
        <w:outlineLvl w:val="0"/>
        <w:rPr>
          <w:rFonts w:hint="eastAsia" w:ascii="黑体" w:hAnsi="黑体" w:eastAsia="黑体" w:cs="黑体"/>
          <w:b/>
          <w:sz w:val="52"/>
          <w:szCs w:val="52"/>
          <w:shd w:val="clear" w:color="auto" w:fill="FFFFFF"/>
          <w:lang w:val="en-US" w:eastAsia="zh-CN"/>
        </w:rPr>
      </w:pPr>
      <w:r>
        <w:rPr>
          <w:rFonts w:hint="eastAsia" w:ascii="黑体" w:hAnsi="黑体" w:eastAsia="黑体" w:cs="黑体"/>
          <w:b/>
          <w:sz w:val="52"/>
          <w:szCs w:val="52"/>
          <w:shd w:val="clear" w:color="auto" w:fill="FFFFFF"/>
        </w:rPr>
        <w:t>20</w:t>
      </w:r>
      <w:r>
        <w:rPr>
          <w:rFonts w:hint="eastAsia" w:ascii="黑体" w:hAnsi="黑体" w:eastAsia="黑体" w:cs="黑体"/>
          <w:b/>
          <w:sz w:val="52"/>
          <w:szCs w:val="52"/>
          <w:shd w:val="clear" w:color="auto" w:fill="FFFFFF"/>
          <w:lang w:val="en-US" w:eastAsia="zh-CN"/>
        </w:rPr>
        <w:t>23</w:t>
      </w:r>
      <w:r>
        <w:rPr>
          <w:rFonts w:hint="eastAsia" w:ascii="黑体" w:hAnsi="黑体" w:eastAsia="黑体" w:cs="黑体"/>
          <w:b/>
          <w:sz w:val="52"/>
          <w:szCs w:val="52"/>
          <w:shd w:val="clear" w:color="auto" w:fill="FFFFFF"/>
        </w:rPr>
        <w:t>级</w:t>
      </w:r>
      <w:r>
        <w:rPr>
          <w:rFonts w:hint="eastAsia" w:ascii="黑体" w:hAnsi="黑体" w:eastAsia="黑体" w:cs="黑体"/>
          <w:b/>
          <w:sz w:val="52"/>
          <w:szCs w:val="52"/>
          <w:shd w:val="clear" w:color="auto" w:fill="FFFFFF"/>
          <w:lang w:eastAsia="zh-CN"/>
        </w:rPr>
        <w:t>(广艺3十2)班</w:t>
      </w:r>
    </w:p>
    <w:p>
      <w:pPr>
        <w:spacing w:before="31" w:beforeLines="10" w:line="360" w:lineRule="auto"/>
        <w:jc w:val="both"/>
        <w:outlineLvl w:val="0"/>
        <w:rPr>
          <w:rFonts w:hint="eastAsia" w:ascii="黑体" w:hAnsi="黑体" w:eastAsia="黑体" w:cs="黑体"/>
          <w:b/>
          <w:sz w:val="56"/>
          <w:szCs w:val="56"/>
          <w:shd w:val="clear" w:color="auto" w:fill="FFFFFF"/>
          <w:lang w:val="en-US" w:eastAsia="zh-CN"/>
        </w:rPr>
      </w:pPr>
    </w:p>
    <w:p>
      <w:pPr>
        <w:pStyle w:val="15"/>
        <w:spacing w:before="3120" w:beforeLines="1000"/>
        <w:ind w:firstLine="0"/>
        <w:jc w:val="center"/>
        <w:rPr>
          <w:rFonts w:hint="eastAsia" w:ascii="黑体" w:hAnsi="黑体" w:eastAsia="黑体"/>
          <w:bCs/>
          <w:shd w:val="clear" w:color="auto" w:fill="FFFFFF"/>
        </w:rPr>
      </w:pPr>
      <w:r>
        <w:rPr>
          <w:rFonts w:hint="eastAsia" w:ascii="黑体" w:hAnsi="黑体" w:eastAsia="黑体"/>
          <w:bCs/>
          <w:shd w:val="clear" w:color="auto" w:fill="FFFFFF"/>
        </w:rPr>
        <w:t>20</w:t>
      </w:r>
      <w:r>
        <w:rPr>
          <w:rFonts w:hint="eastAsia" w:ascii="黑体" w:hAnsi="黑体" w:eastAsia="黑体"/>
          <w:bCs/>
          <w:shd w:val="clear" w:color="auto" w:fill="FFFFFF"/>
          <w:lang w:val="en-US" w:eastAsia="zh-CN"/>
        </w:rPr>
        <w:t>23</w:t>
      </w:r>
      <w:r>
        <w:rPr>
          <w:rFonts w:hint="eastAsia" w:ascii="黑体" w:hAnsi="黑体" w:eastAsia="黑体"/>
          <w:bCs/>
          <w:shd w:val="clear" w:color="auto" w:fill="FFFFFF"/>
        </w:rPr>
        <w:t>年</w:t>
      </w:r>
      <w:r>
        <w:rPr>
          <w:rFonts w:hint="eastAsia" w:ascii="黑体" w:hAnsi="黑体" w:eastAsia="黑体"/>
          <w:bCs/>
          <w:shd w:val="clear" w:color="auto" w:fill="FFFFFF"/>
          <w:lang w:val="en-US" w:eastAsia="zh-CN"/>
        </w:rPr>
        <w:t>5</w:t>
      </w:r>
      <w:r>
        <w:rPr>
          <w:rFonts w:hint="eastAsia" w:ascii="黑体" w:hAnsi="黑体" w:eastAsia="黑体"/>
          <w:bCs/>
          <w:shd w:val="clear" w:color="auto" w:fill="FFFFFF"/>
        </w:rPr>
        <w:t>月</w:t>
      </w:r>
    </w:p>
    <w:p>
      <w:pPr>
        <w:pStyle w:val="2"/>
        <w:rPr>
          <w:rFonts w:hint="eastAsia" w:ascii="黑体" w:hAnsi="黑体" w:eastAsia="黑体"/>
          <w:bCs/>
          <w:shd w:val="clear" w:color="auto" w:fill="FFFFFF"/>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835" w:type="dxa"/>
            <w:gridSpan w:val="2"/>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color w:val="000000"/>
                <w:sz w:val="28"/>
                <w:szCs w:val="28"/>
              </w:rPr>
              <w:br w:type="page"/>
            </w:r>
            <w:r>
              <w:rPr>
                <w:rFonts w:hint="eastAsia"/>
                <w:color w:val="000000"/>
                <w:sz w:val="28"/>
                <w:szCs w:val="28"/>
              </w:rPr>
              <w:t>专业名称</w:t>
            </w:r>
          </w:p>
        </w:tc>
        <w:tc>
          <w:tcPr>
            <w:tcW w:w="7385" w:type="dxa"/>
            <w:shd w:val="clear" w:color="auto" w:fill="FEFEFE"/>
            <w:vAlign w:val="center"/>
          </w:tcPr>
          <w:p>
            <w:pPr>
              <w:pStyle w:val="20"/>
              <w:spacing w:beforeLines="0" w:afterLines="0" w:line="240" w:lineRule="auto"/>
              <w:ind w:left="0" w:leftChars="0" w:firstLine="0" w:firstLineChars="0"/>
              <w:rPr>
                <w:rFonts w:hint="eastAsia" w:eastAsiaTheme="minorEastAsia"/>
                <w:color w:val="000000"/>
                <w:sz w:val="28"/>
                <w:szCs w:val="28"/>
                <w:lang w:eastAsia="zh-CN"/>
              </w:rPr>
            </w:pPr>
            <w:r>
              <w:rPr>
                <w:rFonts w:hint="eastAsia"/>
                <w:color w:val="000000"/>
                <w:sz w:val="28"/>
                <w:szCs w:val="28"/>
                <w:lang w:eastAsia="zh-CN"/>
              </w:rPr>
              <w:t>服装设计与工艺专业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5" w:type="dxa"/>
            <w:gridSpan w:val="2"/>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专业代码</w:t>
            </w:r>
          </w:p>
        </w:tc>
        <w:tc>
          <w:tcPr>
            <w:tcW w:w="7385" w:type="dxa"/>
            <w:shd w:val="clear" w:color="auto" w:fill="FEFEFE"/>
            <w:vAlign w:val="center"/>
          </w:tcPr>
          <w:p>
            <w:pPr>
              <w:spacing w:line="480" w:lineRule="auto"/>
              <w:rPr>
                <w:rFonts w:hint="eastAsia" w:ascii="宋体" w:hAnsiTheme="minorHAnsi" w:eastAsiaTheme="minorEastAsia" w:cstheme="minorBidi"/>
                <w:color w:val="000000"/>
                <w:spacing w:val="-4"/>
                <w:kern w:val="0"/>
                <w:sz w:val="28"/>
                <w:szCs w:val="28"/>
                <w:lang w:val="en-US" w:eastAsia="zh-CN" w:bidi="ar-SA"/>
              </w:rPr>
            </w:pPr>
            <w:r>
              <w:rPr>
                <w:rFonts w:hint="eastAsia" w:ascii="宋体" w:hAnsiTheme="minorHAnsi" w:eastAsiaTheme="minorEastAsia" w:cstheme="minorBidi"/>
                <w:color w:val="000000"/>
                <w:spacing w:val="-4"/>
                <w:kern w:val="0"/>
                <w:sz w:val="28"/>
                <w:szCs w:val="28"/>
                <w:lang w:val="en-US" w:eastAsia="zh-CN" w:bidi="ar-SA"/>
              </w:rPr>
              <w:t>中职学段: 服装设计与工艺（680402）</w:t>
            </w:r>
          </w:p>
          <w:p>
            <w:pPr>
              <w:spacing w:line="480" w:lineRule="auto"/>
              <w:rPr>
                <w:rFonts w:hint="eastAsia" w:ascii="宋体" w:hAnsiTheme="minorHAnsi" w:eastAsiaTheme="minorEastAsia" w:cstheme="minorBidi"/>
                <w:color w:val="000000"/>
                <w:spacing w:val="-4"/>
                <w:kern w:val="0"/>
                <w:sz w:val="28"/>
                <w:szCs w:val="28"/>
                <w:lang w:val="en-US" w:eastAsia="zh-CN" w:bidi="ar-SA"/>
              </w:rPr>
            </w:pPr>
            <w:r>
              <w:rPr>
                <w:rFonts w:hint="eastAsia" w:ascii="宋体" w:hAnsiTheme="minorHAnsi" w:eastAsiaTheme="minorEastAsia" w:cstheme="minorBidi"/>
                <w:color w:val="000000"/>
                <w:spacing w:val="-4"/>
                <w:kern w:val="0"/>
                <w:sz w:val="28"/>
                <w:szCs w:val="28"/>
                <w:lang w:val="en-US" w:eastAsia="zh-CN" w:bidi="ar-SA"/>
              </w:rPr>
              <w:t>高职阶段:</w:t>
            </w:r>
            <w:r>
              <w:rPr>
                <w:rFonts w:hint="eastAsia" w:ascii="宋体" w:cstheme="minorBidi"/>
                <w:color w:val="000000"/>
                <w:spacing w:val="-4"/>
                <w:kern w:val="0"/>
                <w:sz w:val="28"/>
                <w:szCs w:val="28"/>
                <w:lang w:val="en-US" w:eastAsia="zh-CN" w:bidi="ar-SA"/>
              </w:rPr>
              <w:t xml:space="preserve"> </w:t>
            </w:r>
            <w:r>
              <w:rPr>
                <w:rFonts w:hint="eastAsia" w:ascii="宋体" w:hAnsiTheme="minorHAnsi" w:eastAsiaTheme="minorEastAsia" w:cstheme="minorBidi"/>
                <w:color w:val="000000"/>
                <w:spacing w:val="-4"/>
                <w:kern w:val="0"/>
                <w:sz w:val="28"/>
                <w:szCs w:val="28"/>
                <w:lang w:val="en-US" w:eastAsia="zh-CN" w:bidi="ar-SA"/>
              </w:rPr>
              <w:t>服装与服饰设计（550105）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35" w:type="dxa"/>
            <w:gridSpan w:val="2"/>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适用学生</w:t>
            </w:r>
          </w:p>
        </w:tc>
        <w:tc>
          <w:tcPr>
            <w:tcW w:w="7385" w:type="dxa"/>
            <w:shd w:val="clear" w:color="auto" w:fill="FEFEFE"/>
            <w:vAlign w:val="center"/>
          </w:tcPr>
          <w:p>
            <w:pPr>
              <w:spacing w:line="480" w:lineRule="auto"/>
              <w:rPr>
                <w:rFonts w:hint="eastAsia" w:ascii="宋体" w:hAnsiTheme="minorHAnsi" w:eastAsiaTheme="minorEastAsia" w:cstheme="minorBidi"/>
                <w:color w:val="000000"/>
                <w:spacing w:val="-4"/>
                <w:kern w:val="0"/>
                <w:sz w:val="28"/>
                <w:szCs w:val="28"/>
                <w:lang w:val="en-US" w:eastAsia="zh-CN" w:bidi="ar-SA"/>
              </w:rPr>
            </w:pPr>
            <w:r>
              <w:rPr>
                <w:rFonts w:hint="eastAsia" w:ascii="宋体" w:hAnsiTheme="minorHAnsi" w:eastAsiaTheme="minorEastAsia" w:cstheme="minorBidi"/>
                <w:color w:val="000000"/>
                <w:spacing w:val="-4"/>
                <w:kern w:val="0"/>
                <w:sz w:val="28"/>
                <w:szCs w:val="28"/>
                <w:lang w:val="en-US" w:eastAsia="zh-CN" w:bidi="ar-SA"/>
              </w:rPr>
              <w:t>中职学段: 初中毕业或具有同等学历</w:t>
            </w:r>
          </w:p>
          <w:p>
            <w:pPr>
              <w:spacing w:line="480" w:lineRule="auto"/>
              <w:rPr>
                <w:rFonts w:hint="eastAsia" w:ascii="宋体" w:hAnsiTheme="minorHAnsi" w:eastAsiaTheme="minorEastAsia" w:cstheme="minorBidi"/>
                <w:color w:val="000000"/>
                <w:spacing w:val="-4"/>
                <w:kern w:val="0"/>
                <w:sz w:val="28"/>
                <w:szCs w:val="28"/>
                <w:lang w:val="en-US" w:eastAsia="zh-CN" w:bidi="ar-SA"/>
              </w:rPr>
            </w:pPr>
            <w:r>
              <w:rPr>
                <w:rFonts w:hint="eastAsia" w:ascii="宋体" w:hAnsiTheme="minorHAnsi" w:eastAsiaTheme="minorEastAsia" w:cstheme="minorBidi"/>
                <w:color w:val="000000"/>
                <w:spacing w:val="-4"/>
                <w:kern w:val="0"/>
                <w:sz w:val="28"/>
                <w:szCs w:val="28"/>
                <w:lang w:val="en-US" w:eastAsia="zh-CN" w:bidi="ar-SA"/>
              </w:rPr>
              <w:t>高职阶段:</w:t>
            </w:r>
            <w:r>
              <w:rPr>
                <w:rFonts w:hint="eastAsia" w:ascii="宋体" w:cstheme="minorBidi"/>
                <w:color w:val="000000"/>
                <w:spacing w:val="-4"/>
                <w:kern w:val="0"/>
                <w:sz w:val="28"/>
                <w:szCs w:val="28"/>
                <w:lang w:val="en-US" w:eastAsia="zh-CN" w:bidi="ar-SA"/>
              </w:rPr>
              <w:t xml:space="preserve"> </w:t>
            </w:r>
            <w:r>
              <w:rPr>
                <w:rFonts w:hint="eastAsia" w:ascii="宋体" w:hAnsiTheme="minorHAnsi" w:eastAsiaTheme="minorEastAsia" w:cstheme="minorBidi"/>
                <w:color w:val="000000"/>
                <w:spacing w:val="-4"/>
                <w:kern w:val="0"/>
                <w:sz w:val="28"/>
                <w:szCs w:val="28"/>
                <w:lang w:val="en-US" w:eastAsia="zh-CN" w:bidi="ar-SA"/>
              </w:rPr>
              <w:t>中高职贯通培养三二分段试点班，转段考核合格的中职学校相应专业的正式学籍学生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Merge w:val="restart"/>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主编</w:t>
            </w:r>
          </w:p>
        </w:tc>
        <w:tc>
          <w:tcPr>
            <w:tcW w:w="1701" w:type="dxa"/>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学校人员</w:t>
            </w:r>
          </w:p>
        </w:tc>
        <w:tc>
          <w:tcPr>
            <w:tcW w:w="7385" w:type="dxa"/>
            <w:shd w:val="clear" w:color="auto" w:fill="FEFEFE"/>
            <w:vAlign w:val="center"/>
          </w:tcPr>
          <w:p>
            <w:pPr>
              <w:pStyle w:val="20"/>
              <w:spacing w:beforeLines="0" w:afterLines="0" w:line="240" w:lineRule="auto"/>
              <w:ind w:left="0" w:leftChars="0" w:firstLine="0" w:firstLineChars="0"/>
              <w:jc w:val="center"/>
              <w:rPr>
                <w:rFonts w:hint="eastAsia"/>
                <w:color w:val="000000"/>
                <w:sz w:val="28"/>
                <w:szCs w:val="28"/>
              </w:rPr>
            </w:pPr>
            <w:r>
              <w:rPr>
                <w:rFonts w:hint="eastAsia" w:ascii="宋体" w:hAnsiTheme="minorHAnsi" w:eastAsiaTheme="minorEastAsia" w:cstheme="minorBidi"/>
                <w:color w:val="000000"/>
                <w:spacing w:val="-4"/>
                <w:kern w:val="0"/>
                <w:sz w:val="28"/>
                <w:szCs w:val="28"/>
                <w:lang w:val="en-US" w:eastAsia="zh-CN" w:bidi="ar-SA"/>
              </w:rPr>
              <w:t>赖正媛</w:t>
            </w:r>
            <w:bookmarkStart w:id="115" w:name="_GoBack"/>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vMerge w:val="continue"/>
            <w:shd w:val="clear" w:color="auto" w:fill="FEFEFE"/>
            <w:vAlign w:val="center"/>
          </w:tcPr>
          <w:p>
            <w:pPr>
              <w:pStyle w:val="20"/>
              <w:spacing w:beforeLines="0" w:afterLines="0" w:line="240" w:lineRule="auto"/>
              <w:ind w:left="0" w:leftChars="0" w:firstLine="0" w:firstLineChars="0"/>
              <w:jc w:val="center"/>
              <w:rPr>
                <w:color w:val="000000"/>
                <w:sz w:val="28"/>
                <w:szCs w:val="28"/>
              </w:rPr>
            </w:pPr>
          </w:p>
        </w:tc>
        <w:tc>
          <w:tcPr>
            <w:tcW w:w="1701" w:type="dxa"/>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企业人员</w:t>
            </w:r>
          </w:p>
        </w:tc>
        <w:tc>
          <w:tcPr>
            <w:tcW w:w="7385" w:type="dxa"/>
            <w:shd w:val="clear" w:color="auto" w:fill="FEFEFE"/>
            <w:vAlign w:val="center"/>
          </w:tcPr>
          <w:p>
            <w:pPr>
              <w:pStyle w:val="20"/>
              <w:spacing w:beforeLines="0" w:afterLines="0" w:line="240" w:lineRule="auto"/>
              <w:ind w:left="0" w:leftChars="0" w:firstLine="0" w:firstLineChars="0"/>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Merge w:val="restart"/>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参编</w:t>
            </w:r>
          </w:p>
        </w:tc>
        <w:tc>
          <w:tcPr>
            <w:tcW w:w="1701" w:type="dxa"/>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学校人员</w:t>
            </w:r>
          </w:p>
        </w:tc>
        <w:tc>
          <w:tcPr>
            <w:tcW w:w="7385" w:type="dxa"/>
            <w:shd w:val="clear" w:color="auto" w:fill="FEFEFE"/>
            <w:vAlign w:val="center"/>
          </w:tcPr>
          <w:p>
            <w:pPr>
              <w:pStyle w:val="20"/>
              <w:spacing w:beforeLines="0" w:afterLines="0" w:line="240" w:lineRule="auto"/>
              <w:ind w:left="0" w:leftChars="0" w:firstLine="0" w:firstLineChars="0"/>
              <w:rPr>
                <w:color w:val="000000"/>
                <w:sz w:val="28"/>
                <w:szCs w:val="28"/>
              </w:rPr>
            </w:pPr>
            <w:r>
              <w:rPr>
                <w:rFonts w:hint="eastAsia" w:ascii="宋体" w:hAnsiTheme="minorHAnsi" w:eastAsiaTheme="minorEastAsia" w:cstheme="minorBidi"/>
                <w:color w:val="000000"/>
                <w:spacing w:val="-4"/>
                <w:kern w:val="0"/>
                <w:sz w:val="28"/>
                <w:szCs w:val="28"/>
                <w:lang w:val="en-US" w:eastAsia="zh-CN" w:bidi="ar-SA"/>
              </w:rPr>
              <w:t>岑专 谭小关 梁耀元 莫小燕 邱育新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4" w:type="dxa"/>
            <w:vMerge w:val="continue"/>
            <w:shd w:val="clear" w:color="auto" w:fill="FEFEFE"/>
            <w:vAlign w:val="center"/>
          </w:tcPr>
          <w:p>
            <w:pPr>
              <w:pStyle w:val="20"/>
              <w:spacing w:beforeLines="0" w:afterLines="0" w:line="240" w:lineRule="auto"/>
              <w:ind w:left="0" w:leftChars="0" w:firstLine="0" w:firstLineChars="0"/>
              <w:jc w:val="center"/>
              <w:rPr>
                <w:color w:val="000000"/>
                <w:sz w:val="28"/>
                <w:szCs w:val="28"/>
              </w:rPr>
            </w:pPr>
          </w:p>
        </w:tc>
        <w:tc>
          <w:tcPr>
            <w:tcW w:w="1701" w:type="dxa"/>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企业人员</w:t>
            </w:r>
          </w:p>
        </w:tc>
        <w:tc>
          <w:tcPr>
            <w:tcW w:w="7385" w:type="dxa"/>
            <w:shd w:val="clear" w:color="auto" w:fill="FEFEFE"/>
            <w:vAlign w:val="center"/>
          </w:tcPr>
          <w:p>
            <w:pPr>
              <w:pStyle w:val="20"/>
              <w:spacing w:beforeLines="0" w:afterLines="0" w:line="240" w:lineRule="auto"/>
              <w:ind w:left="0" w:leftChars="0" w:firstLine="0" w:firstLineChars="0"/>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35" w:type="dxa"/>
            <w:gridSpan w:val="2"/>
            <w:vMerge w:val="restart"/>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参编单位（企业）</w:t>
            </w:r>
          </w:p>
        </w:tc>
        <w:tc>
          <w:tcPr>
            <w:tcW w:w="7385" w:type="dxa"/>
            <w:shd w:val="clear" w:color="auto" w:fill="FEFEFE"/>
            <w:vAlign w:val="center"/>
          </w:tcPr>
          <w:p>
            <w:pPr>
              <w:spacing w:line="480" w:lineRule="auto"/>
              <w:rPr>
                <w:rFonts w:hint="eastAsia" w:ascii="宋体" w:hAnsiTheme="minorHAnsi" w:eastAsiaTheme="minorEastAsia" w:cstheme="minorBidi"/>
                <w:color w:val="000000"/>
                <w:spacing w:val="-4"/>
                <w:kern w:val="0"/>
                <w:sz w:val="28"/>
                <w:szCs w:val="28"/>
                <w:lang w:val="en-US" w:eastAsia="zh-CN" w:bidi="ar-SA"/>
              </w:rPr>
            </w:pPr>
            <w:r>
              <w:rPr>
                <w:rFonts w:hint="eastAsia" w:ascii="宋体" w:hAnsiTheme="minorHAnsi" w:eastAsiaTheme="minorEastAsia" w:cstheme="minorBidi"/>
                <w:color w:val="000000"/>
                <w:spacing w:val="-4"/>
                <w:kern w:val="0"/>
                <w:sz w:val="28"/>
                <w:szCs w:val="28"/>
                <w:lang w:val="en-US" w:eastAsia="zh-CN" w:bidi="ar-SA"/>
              </w:rPr>
              <w:t>广东文艺职业学院服装与服饰设计专业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835" w:type="dxa"/>
            <w:gridSpan w:val="2"/>
            <w:vMerge w:val="continue"/>
            <w:shd w:val="clear" w:color="auto" w:fill="FEFEFE"/>
            <w:vAlign w:val="center"/>
          </w:tcPr>
          <w:p>
            <w:pPr>
              <w:pStyle w:val="20"/>
              <w:spacing w:beforeLines="0" w:afterLines="0" w:line="240" w:lineRule="auto"/>
              <w:ind w:left="0" w:leftChars="0" w:firstLine="0" w:firstLineChars="0"/>
              <w:jc w:val="center"/>
              <w:rPr>
                <w:color w:val="000000"/>
                <w:sz w:val="28"/>
                <w:szCs w:val="28"/>
              </w:rPr>
            </w:pPr>
          </w:p>
        </w:tc>
        <w:tc>
          <w:tcPr>
            <w:tcW w:w="7385" w:type="dxa"/>
            <w:shd w:val="clear" w:color="auto" w:fill="FEFEFE"/>
            <w:vAlign w:val="center"/>
          </w:tcPr>
          <w:p>
            <w:pPr>
              <w:pStyle w:val="20"/>
              <w:spacing w:beforeLines="0" w:afterLines="0" w:line="240" w:lineRule="auto"/>
              <w:ind w:left="0" w:leftChars="0" w:firstLine="0" w:firstLineChars="0"/>
              <w:rPr>
                <w:color w:val="000000"/>
                <w:sz w:val="28"/>
                <w:szCs w:val="28"/>
              </w:rPr>
            </w:pPr>
            <w:r>
              <w:rPr>
                <w:rFonts w:hint="eastAsia" w:ascii="宋体" w:hAnsiTheme="minorHAnsi" w:eastAsiaTheme="minorEastAsia" w:cstheme="minorBidi"/>
                <w:color w:val="000000"/>
                <w:spacing w:val="-4"/>
                <w:kern w:val="0"/>
                <w:sz w:val="28"/>
                <w:szCs w:val="28"/>
                <w:lang w:val="en-US" w:eastAsia="zh-CN" w:bidi="ar-SA"/>
              </w:rPr>
              <w:t>阳江市金彭服饰实业有限公司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35" w:type="dxa"/>
            <w:gridSpan w:val="2"/>
            <w:vMerge w:val="continue"/>
            <w:shd w:val="clear" w:color="auto" w:fill="FEFEFE"/>
            <w:vAlign w:val="center"/>
          </w:tcPr>
          <w:p>
            <w:pPr>
              <w:pStyle w:val="20"/>
              <w:spacing w:beforeLines="0" w:afterLines="0" w:line="240" w:lineRule="auto"/>
              <w:ind w:left="0" w:leftChars="0" w:firstLine="0" w:firstLineChars="0"/>
              <w:jc w:val="center"/>
              <w:rPr>
                <w:color w:val="000000"/>
                <w:sz w:val="28"/>
                <w:szCs w:val="28"/>
              </w:rPr>
            </w:pPr>
          </w:p>
        </w:tc>
        <w:tc>
          <w:tcPr>
            <w:tcW w:w="7385" w:type="dxa"/>
            <w:shd w:val="clear" w:color="auto" w:fill="FEFEFE"/>
            <w:vAlign w:val="center"/>
          </w:tcPr>
          <w:p>
            <w:pPr>
              <w:spacing w:line="480" w:lineRule="auto"/>
              <w:rPr>
                <w:color w:val="000000"/>
                <w:sz w:val="28"/>
                <w:szCs w:val="28"/>
              </w:rPr>
            </w:pPr>
            <w:r>
              <w:rPr>
                <w:rFonts w:hint="eastAsia" w:ascii="宋体" w:hAnsiTheme="minorHAnsi" w:eastAsiaTheme="minorEastAsia" w:cstheme="minorBidi"/>
                <w:color w:val="000000"/>
                <w:spacing w:val="-4"/>
                <w:kern w:val="0"/>
                <w:sz w:val="28"/>
                <w:szCs w:val="28"/>
                <w:lang w:val="en-US" w:eastAsia="zh-CN" w:bidi="ar-SA"/>
              </w:rPr>
              <w:t>阳江市金宝服饰有限公司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教学主任审核</w:t>
            </w:r>
          </w:p>
        </w:tc>
        <w:tc>
          <w:tcPr>
            <w:tcW w:w="7385" w:type="dxa"/>
            <w:shd w:val="clear" w:color="auto" w:fill="FEFEFE"/>
            <w:vAlign w:val="center"/>
          </w:tcPr>
          <w:p>
            <w:pPr>
              <w:pStyle w:val="13"/>
              <w:rPr>
                <w:color w:val="000000"/>
              </w:rPr>
            </w:pPr>
          </w:p>
          <w:p>
            <w:pPr>
              <w:pStyle w:val="20"/>
              <w:spacing w:beforeLines="0" w:afterLines="0" w:line="240" w:lineRule="auto"/>
              <w:ind w:left="0" w:leftChars="0" w:firstLine="0" w:firstLineChars="0"/>
              <w:jc w:val="left"/>
              <w:rPr>
                <w:color w:val="000000"/>
                <w:sz w:val="28"/>
                <w:szCs w:val="28"/>
              </w:rPr>
            </w:pPr>
            <w:r>
              <w:rPr>
                <w:rFonts w:hint="eastAsia"/>
                <w:color w:val="000000"/>
                <w:sz w:val="28"/>
                <w:szCs w:val="28"/>
              </w:rPr>
              <w:t>签名（盖章）：关丽</w:t>
            </w:r>
          </w:p>
          <w:p>
            <w:pPr>
              <w:pStyle w:val="13"/>
              <w:jc w:val="left"/>
              <w:rPr>
                <w:rFonts w:hint="default" w:ascii="宋体" w:eastAsiaTheme="minorEastAsia"/>
                <w:color w:val="000000"/>
                <w:spacing w:val="-4"/>
                <w:kern w:val="0"/>
                <w:sz w:val="28"/>
                <w:szCs w:val="28"/>
                <w:lang w:val="en-US" w:eastAsia="zh-CN"/>
              </w:rPr>
            </w:pPr>
            <w:r>
              <w:rPr>
                <w:rFonts w:hint="eastAsia" w:ascii="宋体"/>
                <w:color w:val="000000"/>
                <w:spacing w:val="-4"/>
                <w:kern w:val="0"/>
                <w:sz w:val="28"/>
                <w:szCs w:val="28"/>
              </w:rPr>
              <w:t>日期：</w:t>
            </w:r>
            <w:r>
              <w:rPr>
                <w:rFonts w:hint="eastAsia" w:ascii="宋体"/>
                <w:color w:val="000000"/>
                <w:spacing w:val="-4"/>
                <w:kern w:val="0"/>
                <w:sz w:val="28"/>
                <w:szCs w:val="28"/>
                <w:lang w:val="en-US" w:eastAsia="zh-CN"/>
              </w:rPr>
              <w:t>2023年6月2日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教务科审核</w:t>
            </w:r>
          </w:p>
        </w:tc>
        <w:tc>
          <w:tcPr>
            <w:tcW w:w="7385" w:type="dxa"/>
            <w:shd w:val="clear" w:color="auto" w:fill="FEFEFE"/>
            <w:vAlign w:val="center"/>
          </w:tcPr>
          <w:p>
            <w:pPr>
              <w:pStyle w:val="20"/>
              <w:spacing w:beforeLines="0" w:afterLines="0" w:line="240" w:lineRule="auto"/>
              <w:ind w:left="0" w:leftChars="0" w:firstLine="0" w:firstLineChars="0"/>
              <w:jc w:val="left"/>
              <w:rPr>
                <w:color w:val="000000"/>
                <w:sz w:val="28"/>
                <w:szCs w:val="28"/>
              </w:rPr>
            </w:pPr>
          </w:p>
          <w:p>
            <w:pPr>
              <w:pStyle w:val="20"/>
              <w:spacing w:beforeLines="0" w:afterLines="0" w:line="240" w:lineRule="auto"/>
              <w:ind w:left="0" w:leftChars="0" w:firstLine="0" w:firstLineChars="0"/>
              <w:jc w:val="left"/>
              <w:rPr>
                <w:color w:val="000000"/>
                <w:sz w:val="28"/>
                <w:szCs w:val="28"/>
              </w:rPr>
            </w:pPr>
            <w:r>
              <w:rPr>
                <w:rFonts w:hint="eastAsia"/>
                <w:color w:val="000000"/>
                <w:sz w:val="28"/>
                <w:szCs w:val="28"/>
              </w:rPr>
              <w:t>签名（盖章）：</w:t>
            </w:r>
          </w:p>
          <w:p>
            <w:pPr>
              <w:pStyle w:val="20"/>
              <w:spacing w:beforeLines="0" w:afterLines="0" w:line="240" w:lineRule="auto"/>
              <w:ind w:left="0" w:leftChars="0" w:firstLine="0" w:firstLineChars="0"/>
              <w:jc w:val="left"/>
              <w:rPr>
                <w:color w:val="000000"/>
                <w:sz w:val="28"/>
                <w:szCs w:val="28"/>
              </w:rPr>
            </w:pPr>
            <w:r>
              <w:rPr>
                <w:rFonts w:hint="eastAsia"/>
                <w:color w:val="000000"/>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shd w:val="clear" w:color="auto" w:fill="FEFEFE"/>
            <w:vAlign w:val="center"/>
          </w:tcPr>
          <w:p>
            <w:pPr>
              <w:pStyle w:val="20"/>
              <w:spacing w:beforeLines="0" w:afterLines="0" w:line="240" w:lineRule="auto"/>
              <w:ind w:left="0" w:leftChars="0" w:firstLine="0" w:firstLineChars="0"/>
              <w:jc w:val="center"/>
              <w:rPr>
                <w:color w:val="000000"/>
                <w:sz w:val="28"/>
                <w:szCs w:val="28"/>
              </w:rPr>
            </w:pPr>
            <w:r>
              <w:rPr>
                <w:rFonts w:hint="eastAsia"/>
                <w:color w:val="000000"/>
                <w:sz w:val="28"/>
                <w:szCs w:val="28"/>
              </w:rPr>
              <w:t>教学工作指导委员会审核</w:t>
            </w:r>
          </w:p>
        </w:tc>
        <w:tc>
          <w:tcPr>
            <w:tcW w:w="7385" w:type="dxa"/>
            <w:shd w:val="clear" w:color="auto" w:fill="FEFEFE"/>
            <w:vAlign w:val="center"/>
          </w:tcPr>
          <w:p>
            <w:pPr>
              <w:pStyle w:val="20"/>
              <w:spacing w:beforeLines="0" w:afterLines="0" w:line="240" w:lineRule="auto"/>
              <w:ind w:left="0" w:leftChars="0" w:firstLine="0" w:firstLineChars="0"/>
              <w:jc w:val="left"/>
              <w:rPr>
                <w:color w:val="000000"/>
                <w:sz w:val="28"/>
                <w:szCs w:val="28"/>
              </w:rPr>
            </w:pPr>
          </w:p>
          <w:p>
            <w:pPr>
              <w:pStyle w:val="13"/>
              <w:rPr>
                <w:color w:val="000000"/>
              </w:rPr>
            </w:pPr>
          </w:p>
          <w:p>
            <w:pPr>
              <w:pStyle w:val="20"/>
              <w:spacing w:beforeLines="0" w:afterLines="0" w:line="240" w:lineRule="auto"/>
              <w:ind w:left="0" w:leftChars="0" w:firstLine="0" w:firstLineChars="0"/>
              <w:jc w:val="left"/>
              <w:rPr>
                <w:color w:val="000000"/>
                <w:sz w:val="28"/>
                <w:szCs w:val="28"/>
              </w:rPr>
            </w:pPr>
            <w:r>
              <w:rPr>
                <w:rFonts w:hint="eastAsia"/>
                <w:color w:val="000000"/>
                <w:sz w:val="28"/>
                <w:szCs w:val="28"/>
              </w:rPr>
              <w:t>签名（盖章）：</w:t>
            </w:r>
          </w:p>
          <w:p>
            <w:pPr>
              <w:pStyle w:val="20"/>
              <w:spacing w:beforeLines="0" w:afterLines="0" w:line="240" w:lineRule="auto"/>
              <w:ind w:left="0" w:leftChars="0" w:firstLine="0" w:firstLineChars="0"/>
              <w:jc w:val="left"/>
              <w:rPr>
                <w:color w:val="000000"/>
                <w:sz w:val="28"/>
                <w:szCs w:val="28"/>
              </w:rPr>
            </w:pPr>
            <w:r>
              <w:rPr>
                <w:rFonts w:hint="eastAsia"/>
                <w:color w:val="000000"/>
                <w:sz w:val="28"/>
                <w:szCs w:val="28"/>
              </w:rPr>
              <w:t>日期：</w:t>
            </w:r>
          </w:p>
        </w:tc>
      </w:tr>
    </w:tbl>
    <w:p>
      <w:pPr>
        <w:pStyle w:val="20"/>
        <w:spacing w:before="93" w:after="93"/>
        <w:ind w:firstLine="464"/>
        <w:sectPr>
          <w:pgSz w:w="11906" w:h="16838"/>
          <w:pgMar w:top="720" w:right="720" w:bottom="720" w:left="720" w:header="720" w:footer="720" w:gutter="0"/>
          <w:cols w:space="425" w:num="1"/>
          <w:docGrid w:type="lines" w:linePitch="312" w:charSpace="0"/>
        </w:sectPr>
      </w:pPr>
    </w:p>
    <w:sdt>
      <w:sdtPr>
        <w:rPr>
          <w:rFonts w:ascii="宋体" w:hAnsi="宋体" w:eastAsia="宋体"/>
        </w:rPr>
        <w:id w:val="147469042"/>
        <w:docPartObj>
          <w:docPartGallery w:val="Table of Contents"/>
          <w:docPartUnique/>
        </w:docPartObj>
      </w:sdtPr>
      <w:sdtEndPr>
        <w:rPr>
          <w:rFonts w:hint="eastAsia" w:asciiTheme="minorHAnsi" w:hAnsiTheme="minorHAnsi" w:eastAsiaTheme="minorEastAsia"/>
          <w:b/>
          <w:bCs/>
          <w:szCs w:val="40"/>
        </w:rPr>
      </w:sdtEndPr>
      <w:sdtContent>
        <w:p>
          <w:pPr>
            <w:jc w:val="center"/>
            <w:rPr>
              <w:rFonts w:ascii="宋体" w:hAnsi="宋体" w:eastAsia="宋体"/>
              <w:b/>
              <w:bCs/>
              <w:sz w:val="32"/>
              <w:szCs w:val="40"/>
            </w:rPr>
          </w:pPr>
          <w:r>
            <w:rPr>
              <w:rFonts w:ascii="宋体" w:hAnsi="宋体" w:eastAsia="宋体"/>
              <w:b/>
              <w:bCs/>
              <w:sz w:val="32"/>
              <w:szCs w:val="40"/>
            </w:rPr>
            <w:t>目录</w:t>
          </w:r>
        </w:p>
        <w:p>
          <w:pPr>
            <w:pStyle w:val="25"/>
            <w:tabs>
              <w:tab w:val="right" w:leader="dot" w:pos="8306"/>
            </w:tabs>
            <w:rPr>
              <w:b/>
            </w:rPr>
          </w:pPr>
          <w:r>
            <w:rPr>
              <w:rFonts w:hint="eastAsia"/>
              <w:b/>
              <w:bCs/>
              <w:sz w:val="40"/>
              <w:szCs w:val="40"/>
            </w:rPr>
            <w:fldChar w:fldCharType="begin"/>
          </w:r>
          <w:r>
            <w:rPr>
              <w:rFonts w:hint="eastAsia"/>
              <w:b/>
              <w:bCs/>
              <w:sz w:val="40"/>
              <w:szCs w:val="40"/>
            </w:rPr>
            <w:instrText xml:space="preserve">TOC \o "1-2" \h \u </w:instrText>
          </w:r>
          <w:r>
            <w:rPr>
              <w:rFonts w:hint="eastAsia"/>
              <w:b/>
              <w:bCs/>
              <w:sz w:val="40"/>
              <w:szCs w:val="40"/>
            </w:rPr>
            <w:fldChar w:fldCharType="separate"/>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"_Toc6406" </w:instrText>
          </w:r>
          <w:r>
            <w:fldChar w:fldCharType="separate"/>
          </w:r>
          <w:r>
            <w:rPr>
              <w:rFonts w:hint="eastAsia" w:ascii="宋体" w:hAnsi="宋体" w:eastAsia="宋体" w:cs="宋体"/>
              <w:b/>
              <w:kern w:val="44"/>
              <w:sz w:val="24"/>
              <w:szCs w:val="24"/>
            </w:rPr>
            <w:t>一、专业名称及代码</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_Toc6406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rPr>
              <w:rFonts w:ascii="宋体" w:hAnsi="宋体" w:eastAsia="宋体" w:cs="宋体"/>
              <w:sz w:val="24"/>
              <w:szCs w:val="24"/>
            </w:rPr>
          </w:pPr>
          <w:r>
            <w:fldChar w:fldCharType="begin"/>
          </w:r>
          <w:r>
            <w:instrText xml:space="preserve"> HYPERLINK \l "_Toc1924" </w:instrText>
          </w:r>
          <w:r>
            <w:fldChar w:fldCharType="separate"/>
          </w:r>
          <w:r>
            <w:rPr>
              <w:rFonts w:hint="eastAsia" w:ascii="宋体" w:hAnsi="宋体" w:eastAsia="宋体" w:cs="宋体"/>
              <w:b/>
              <w:kern w:val="44"/>
              <w:sz w:val="24"/>
              <w:szCs w:val="24"/>
            </w:rPr>
            <w:t>二、入学要求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_Toc1924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"_Toc6344" </w:instrText>
          </w:r>
          <w:r>
            <w:fldChar w:fldCharType="separate"/>
          </w:r>
          <w:r>
            <w:rPr>
              <w:rFonts w:hint="eastAsia" w:ascii="宋体" w:hAnsi="宋体" w:eastAsia="宋体" w:cs="宋体"/>
              <w:b/>
              <w:kern w:val="44"/>
              <w:sz w:val="24"/>
              <w:szCs w:val="24"/>
            </w:rPr>
            <w:t>三、修业年限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_Toc6344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rPr>
              <w:rFonts w:ascii="宋体" w:hAnsi="宋体" w:eastAsia="宋体" w:cs="宋体"/>
              <w:sz w:val="24"/>
              <w:szCs w:val="24"/>
            </w:rPr>
          </w:pPr>
          <w:r>
            <w:fldChar w:fldCharType="begin"/>
          </w:r>
          <w:r>
            <w:instrText xml:space="preserve"> HYPERLINK \l "_Toc24484" </w:instrText>
          </w:r>
          <w:r>
            <w:fldChar w:fldCharType="separate"/>
          </w:r>
          <w:r>
            <w:rPr>
              <w:rFonts w:hint="eastAsia" w:ascii="宋体" w:hAnsi="宋体" w:eastAsia="宋体" w:cs="宋体"/>
              <w:b/>
              <w:kern w:val="44"/>
              <w:sz w:val="24"/>
              <w:szCs w:val="24"/>
            </w:rPr>
            <w:t>四、组群逻辑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_Toc24484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"_Toc6665" </w:instrText>
          </w:r>
          <w:r>
            <w:fldChar w:fldCharType="separate"/>
          </w:r>
          <w:r>
            <w:rPr>
              <w:rFonts w:hint="eastAsia" w:ascii="宋体" w:hAnsi="宋体" w:eastAsia="宋体" w:cs="宋体"/>
              <w:b/>
              <w:kern w:val="44"/>
              <w:sz w:val="24"/>
              <w:szCs w:val="24"/>
            </w:rPr>
            <w:t>五、职业面向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_Toc6665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"_Toc28297" </w:instrText>
          </w:r>
          <w:r>
            <w:fldChar w:fldCharType="separate"/>
          </w:r>
          <w:r>
            <w:rPr>
              <w:rFonts w:hint="eastAsia" w:ascii="宋体" w:hAnsi="宋体" w:eastAsia="宋体" w:cs="宋体"/>
              <w:b/>
              <w:kern w:val="44"/>
              <w:sz w:val="24"/>
              <w:szCs w:val="24"/>
            </w:rPr>
            <w:t>六、培养目标与培养规格</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_Toc28297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"_Toc24927" </w:instrText>
          </w:r>
          <w:r>
            <w:fldChar w:fldCharType="separate"/>
          </w:r>
          <w:r>
            <w:rPr>
              <w:rFonts w:hint="eastAsia" w:ascii="宋体" w:hAnsi="宋体" w:eastAsia="宋体" w:cs="宋体"/>
              <w:sz w:val="24"/>
              <w:szCs w:val="24"/>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"_Toc4745" </w:instrText>
          </w:r>
          <w:r>
            <w:fldChar w:fldCharType="separate"/>
          </w:r>
          <w:r>
            <w:rPr>
              <w:rFonts w:hint="eastAsia" w:ascii="宋体" w:hAnsi="宋体" w:eastAsia="宋体" w:cs="宋体"/>
              <w:sz w:val="24"/>
              <w:szCs w:val="24"/>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_Toc4745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"_Toc4600" </w:instrText>
          </w:r>
          <w:r>
            <w:fldChar w:fldCharType="separate"/>
          </w:r>
          <w:r>
            <w:rPr>
              <w:rFonts w:hint="eastAsia" w:ascii="宋体" w:hAnsi="宋体" w:eastAsia="宋体" w:cs="宋体"/>
              <w:b/>
              <w:kern w:val="44"/>
              <w:sz w:val="24"/>
              <w:szCs w:val="24"/>
            </w:rPr>
            <w:t>七、升学继续专业</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_Toc4600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"_Toc2833" </w:instrText>
          </w:r>
          <w:r>
            <w:fldChar w:fldCharType="separate"/>
          </w:r>
          <w:r>
            <w:rPr>
              <w:rFonts w:hint="eastAsia" w:ascii="宋体" w:hAnsi="宋体" w:eastAsia="宋体" w:cs="宋体"/>
              <w:b/>
              <w:kern w:val="44"/>
              <w:sz w:val="24"/>
              <w:szCs w:val="24"/>
            </w:rPr>
            <w:t>八、课程设置及要求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_Toc2833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"_Toc26889" </w:instrText>
          </w:r>
          <w:r>
            <w:fldChar w:fldCharType="separate"/>
          </w:r>
          <w:r>
            <w:rPr>
              <w:rFonts w:hint="eastAsia" w:ascii="宋体" w:hAnsi="宋体" w:eastAsia="宋体" w:cs="宋体"/>
              <w:sz w:val="24"/>
              <w:szCs w:val="24"/>
            </w:rPr>
            <w:t>（一）公共基础课程教学内容及要求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_Toc26889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"_Toc9486" </w:instrText>
          </w:r>
          <w:r>
            <w:fldChar w:fldCharType="separate"/>
          </w:r>
          <w:r>
            <w:rPr>
              <w:rFonts w:hint="eastAsia" w:ascii="宋体" w:hAnsi="宋体" w:eastAsia="宋体" w:cs="宋体"/>
              <w:sz w:val="24"/>
              <w:szCs w:val="24"/>
            </w:rPr>
            <w:t>（二）专业课程教学内容及要求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"_Toc6693" </w:instrText>
          </w:r>
          <w:r>
            <w:fldChar w:fldCharType="separate"/>
          </w:r>
          <w:r>
            <w:rPr>
              <w:rFonts w:hint="eastAsia" w:ascii="宋体" w:hAnsi="宋体" w:eastAsia="宋体" w:cs="宋体"/>
              <w:b/>
              <w:kern w:val="44"/>
              <w:sz w:val="24"/>
              <w:szCs w:val="24"/>
            </w:rPr>
            <w:t>九、教学进程总体安排</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_Toc6693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"_Toc32414" </w:instrText>
          </w:r>
          <w:r>
            <w:fldChar w:fldCharType="separate"/>
          </w:r>
          <w:r>
            <w:rPr>
              <w:rFonts w:hint="eastAsia" w:ascii="宋体" w:hAnsi="宋体" w:eastAsia="宋体" w:cs="宋体"/>
              <w:sz w:val="24"/>
              <w:szCs w:val="24"/>
            </w:rPr>
            <w:t>（一）基本要求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_Toc32414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"_Toc2152" </w:instrText>
          </w:r>
          <w:r>
            <w:fldChar w:fldCharType="separate"/>
          </w:r>
          <w:r>
            <w:rPr>
              <w:rFonts w:hint="eastAsia" w:ascii="宋体" w:hAnsi="宋体" w:eastAsia="宋体" w:cs="宋体"/>
              <w:sz w:val="24"/>
              <w:szCs w:val="24"/>
            </w:rPr>
            <w:t>（二）教学进度安排表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rPr>
              <w:rFonts w:ascii="宋体" w:hAnsi="宋体" w:eastAsia="宋体" w:cs="宋体"/>
              <w:b/>
              <w:sz w:val="24"/>
              <w:szCs w:val="24"/>
            </w:rPr>
          </w:pPr>
          <w:r>
            <w:fldChar w:fldCharType="begin"/>
          </w:r>
          <w:r>
            <w:instrText xml:space="preserve"> HYPERLINK \l "_Toc32280" </w:instrText>
          </w:r>
          <w:r>
            <w:fldChar w:fldCharType="separate"/>
          </w:r>
          <w:r>
            <w:rPr>
              <w:rFonts w:hint="eastAsia" w:ascii="宋体" w:hAnsi="宋体" w:eastAsia="宋体" w:cs="宋体"/>
              <w:b/>
              <w:kern w:val="44"/>
              <w:sz w:val="24"/>
              <w:szCs w:val="24"/>
            </w:rPr>
            <w:t>十、实施保障</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_Toc32280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"_Toc31185" </w:instrText>
          </w:r>
          <w:r>
            <w:fldChar w:fldCharType="separate"/>
          </w:r>
          <w:r>
            <w:rPr>
              <w:rFonts w:hint="eastAsia" w:ascii="宋体" w:hAnsi="宋体" w:eastAsia="宋体" w:cs="宋体"/>
              <w:sz w:val="24"/>
              <w:szCs w:val="24"/>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_Toc31185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"_Toc7804" </w:instrText>
          </w:r>
          <w:r>
            <w:fldChar w:fldCharType="separate"/>
          </w:r>
          <w:r>
            <w:rPr>
              <w:rFonts w:hint="eastAsia" w:ascii="宋体" w:hAnsi="宋体" w:eastAsia="宋体" w:cs="宋体"/>
              <w:sz w:val="24"/>
              <w:szCs w:val="24"/>
            </w:rPr>
            <w:t>（二）教学设施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_Toc7804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"_Toc21561" </w:instrText>
          </w:r>
          <w:r>
            <w:fldChar w:fldCharType="separate"/>
          </w:r>
          <w:r>
            <w:rPr>
              <w:rFonts w:hint="eastAsia" w:ascii="宋体" w:hAnsi="宋体" w:eastAsia="宋体" w:cs="宋体"/>
              <w:sz w:val="24"/>
              <w:szCs w:val="24"/>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_Toc21561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"_Toc26072" </w:instrText>
          </w:r>
          <w:r>
            <w:fldChar w:fldCharType="separate"/>
          </w:r>
          <w:r>
            <w:rPr>
              <w:rFonts w:hint="eastAsia" w:ascii="宋体" w:hAnsi="宋体" w:eastAsia="宋体" w:cs="宋体"/>
              <w:sz w:val="24"/>
              <w:szCs w:val="24"/>
            </w:rPr>
            <w:t>（四）教学实施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_Toc26072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"_Toc31079" </w:instrText>
          </w:r>
          <w:r>
            <w:fldChar w:fldCharType="separate"/>
          </w:r>
          <w:r>
            <w:rPr>
              <w:rFonts w:hint="eastAsia" w:ascii="宋体" w:hAnsi="宋体" w:eastAsia="宋体" w:cs="宋体"/>
              <w:sz w:val="24"/>
              <w:szCs w:val="24"/>
            </w:rPr>
            <w:t>（五）学习评价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_Toc31079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6"/>
            <w:tabs>
              <w:tab w:val="right" w:leader="dot" w:pos="8306"/>
            </w:tabs>
            <w:spacing w:line="360" w:lineRule="auto"/>
            <w:ind w:left="420"/>
            <w:rPr>
              <w:rFonts w:ascii="宋体" w:hAnsi="宋体" w:eastAsia="宋体" w:cs="宋体"/>
              <w:sz w:val="24"/>
              <w:szCs w:val="24"/>
            </w:rPr>
          </w:pPr>
          <w:r>
            <w:fldChar w:fldCharType="begin"/>
          </w:r>
          <w:r>
            <w:instrText xml:space="preserve"> HYPERLINK \l "_Toc11671" </w:instrText>
          </w:r>
          <w:r>
            <w:fldChar w:fldCharType="separate"/>
          </w:r>
          <w:r>
            <w:rPr>
              <w:rFonts w:hint="eastAsia" w:ascii="宋体" w:hAnsi="宋体" w:eastAsia="宋体" w:cs="宋体"/>
              <w:sz w:val="24"/>
              <w:szCs w:val="24"/>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_Toc11671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tabs>
              <w:tab w:val="right" w:leader="dot" w:pos="8306"/>
            </w:tabs>
            <w:spacing w:line="360" w:lineRule="auto"/>
            <w:rPr>
              <w:b/>
            </w:rPr>
          </w:pPr>
          <w:r>
            <w:fldChar w:fldCharType="begin"/>
          </w:r>
          <w:r>
            <w:instrText xml:space="preserve"> HYPERLINK \l "_Toc92" </w:instrText>
          </w:r>
          <w:r>
            <w:fldChar w:fldCharType="separate"/>
          </w:r>
          <w:r>
            <w:rPr>
              <w:rFonts w:hint="eastAsia" w:ascii="宋体" w:hAnsi="宋体" w:eastAsia="宋体" w:cs="宋体"/>
              <w:b/>
              <w:kern w:val="44"/>
              <w:sz w:val="24"/>
              <w:szCs w:val="24"/>
            </w:rPr>
            <w:t>十一、毕业要求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_Toc92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widowControl/>
            <w:spacing w:line="288" w:lineRule="auto"/>
            <w:jc w:val="center"/>
            <w:rPr>
              <w:b/>
              <w:bCs/>
              <w:sz w:val="40"/>
              <w:szCs w:val="40"/>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bCs/>
              <w:szCs w:val="40"/>
            </w:rPr>
            <w:fldChar w:fldCharType="end"/>
          </w:r>
        </w:p>
      </w:sdtContent>
    </w:sdt>
    <w:p>
      <w:pPr>
        <w:widowControl/>
        <w:spacing w:line="288" w:lineRule="auto"/>
        <w:jc w:val="center"/>
        <w:outlineLvl w:val="0"/>
      </w:pPr>
      <w:bookmarkStart w:id="11" w:name="_Toc25849"/>
      <w:r>
        <w:rPr>
          <w:rFonts w:hint="eastAsia"/>
          <w:b/>
          <w:bCs/>
          <w:sz w:val="40"/>
          <w:szCs w:val="40"/>
        </w:rPr>
        <w:t>服装设计与工艺专业人才培养方案</w:t>
      </w:r>
      <w:bookmarkEnd w:id="1"/>
      <w:bookmarkEnd w:id="2"/>
      <w:bookmarkEnd w:id="11"/>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12" w:name="_Toc24625"/>
      <w:bookmarkStart w:id="13" w:name="_Toc29014"/>
      <w:bookmarkStart w:id="14" w:name="_Toc6406"/>
      <w:bookmarkStart w:id="15" w:name="_Toc9825"/>
      <w:r>
        <w:rPr>
          <w:rFonts w:hint="eastAsia" w:eastAsia="黑体"/>
          <w:b/>
          <w:kern w:val="44"/>
          <w:sz w:val="30"/>
        </w:rPr>
        <w:t>专业名称及代码</w:t>
      </w:r>
      <w:bookmarkEnd w:id="12"/>
      <w:bookmarkEnd w:id="13"/>
      <w:bookmarkEnd w:id="14"/>
      <w:bookmarkEnd w:id="15"/>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中职学段: 服装设计与工艺（680402）</w:t>
      </w:r>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高职阶段: 服装与服饰设计（550105）</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16" w:name="_Toc21556"/>
      <w:bookmarkStart w:id="17" w:name="_Toc4585"/>
      <w:bookmarkStart w:id="18" w:name="_Toc1924"/>
      <w:bookmarkStart w:id="19" w:name="_Toc26684"/>
      <w:r>
        <w:rPr>
          <w:rFonts w:hint="eastAsia" w:eastAsia="黑体"/>
          <w:b/>
          <w:kern w:val="44"/>
          <w:sz w:val="30"/>
        </w:rPr>
        <w:t>入学要求</w:t>
      </w:r>
      <w:bookmarkEnd w:id="16"/>
      <w:bookmarkEnd w:id="17"/>
      <w:bookmarkEnd w:id="18"/>
      <w:bookmarkEnd w:id="19"/>
    </w:p>
    <w:p>
      <w:pPr>
        <w:spacing w:line="360" w:lineRule="auto"/>
        <w:ind w:firstLine="555"/>
        <w:rPr>
          <w:rFonts w:hint="eastAsia" w:ascii="宋体" w:hAnsi="宋体" w:eastAsia="宋体" w:cs="宋体"/>
          <w:kern w:val="2"/>
          <w:sz w:val="24"/>
          <w:szCs w:val="24"/>
          <w:lang w:val="en-US" w:eastAsia="zh-CN" w:bidi="ar-SA"/>
        </w:rPr>
      </w:pPr>
      <w:bookmarkStart w:id="20" w:name="_Toc6344"/>
      <w:r>
        <w:rPr>
          <w:rFonts w:hint="eastAsia" w:ascii="宋体" w:hAnsi="宋体" w:eastAsia="宋体" w:cs="宋体"/>
          <w:kern w:val="2"/>
          <w:sz w:val="24"/>
          <w:szCs w:val="24"/>
          <w:lang w:val="en-US" w:eastAsia="zh-CN" w:bidi="ar-SA"/>
        </w:rPr>
        <w:t>中职学段: 初中毕业或具有同等学历</w:t>
      </w:r>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高职阶段: 中高职贯通培养三二分段试点班，转段考核合格的中职学校相应专业的正式学籍学生</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r>
        <w:rPr>
          <w:rFonts w:hint="eastAsia" w:eastAsia="黑体"/>
          <w:b/>
          <w:kern w:val="44"/>
          <w:sz w:val="30"/>
        </w:rPr>
        <w:t>修业年限</w:t>
      </w:r>
      <w:bookmarkEnd w:id="20"/>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中职学段:学制三年</w:t>
      </w:r>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高职阶段：学制二年</w:t>
      </w:r>
    </w:p>
    <w:p>
      <w:pPr>
        <w:keepNext/>
        <w:keepLines/>
        <w:numPr>
          <w:ilvl w:val="0"/>
          <w:numId w:val="2"/>
        </w:numPr>
        <w:spacing w:before="93" w:beforeLines="30" w:after="93" w:afterLines="30" w:line="460" w:lineRule="exact"/>
        <w:ind w:firstLine="602" w:firstLineChars="200"/>
        <w:outlineLvl w:val="0"/>
        <w:rPr>
          <w:rFonts w:eastAsia="黑体"/>
          <w:b/>
          <w:color w:val="auto"/>
          <w:kern w:val="44"/>
          <w:sz w:val="30"/>
        </w:rPr>
      </w:pPr>
      <w:bookmarkStart w:id="21" w:name="_Toc24484"/>
      <w:bookmarkStart w:id="22" w:name="_Toc7205"/>
      <w:bookmarkStart w:id="23" w:name="_Toc22528"/>
      <w:bookmarkStart w:id="24" w:name="_Toc443"/>
      <w:r>
        <w:rPr>
          <w:rFonts w:hint="eastAsia" w:eastAsia="黑体"/>
          <w:b/>
          <w:color w:val="auto"/>
          <w:kern w:val="44"/>
          <w:sz w:val="30"/>
        </w:rPr>
        <w:t>组群逻辑</w:t>
      </w:r>
      <w:bookmarkEnd w:id="21"/>
      <w:bookmarkEnd w:id="22"/>
      <w:bookmarkEnd w:id="23"/>
      <w:bookmarkEnd w:id="24"/>
    </w:p>
    <w:tbl>
      <w:tblPr>
        <w:tblStyle w:val="22"/>
        <w:tblpPr w:leftFromText="180" w:rightFromText="180" w:vertAnchor="text" w:horzAnchor="page" w:tblpX="1830" w:tblpY="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8522" w:type="dxa"/>
          </w:tcPr>
          <w:p>
            <w:pPr>
              <w:pStyle w:val="2"/>
              <w:ind w:firstLine="0" w:firstLineChars="0"/>
            </w:pPr>
            <w:r>
              <w:drawing>
                <wp:inline distT="0" distB="0" distL="114300" distR="114300">
                  <wp:extent cx="5039995" cy="2921000"/>
                  <wp:effectExtent l="9525" t="9525" r="10160" b="1079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039995" cy="2921000"/>
                          </a:xfrm>
                          <a:prstGeom prst="rect">
                            <a:avLst/>
                          </a:prstGeom>
                          <a:ln>
                            <a:solidFill>
                              <a:schemeClr val="tx1">
                                <a:lumMod val="95000"/>
                                <a:lumOff val="5000"/>
                              </a:schemeClr>
                            </a:solidFill>
                          </a:ln>
                        </pic:spPr>
                      </pic:pic>
                    </a:graphicData>
                  </a:graphic>
                </wp:inline>
              </w:drawing>
            </w:r>
          </w:p>
        </w:tc>
      </w:tr>
    </w:tbl>
    <w:p/>
    <w:p>
      <w:pPr>
        <w:pStyle w:val="11"/>
        <w:rPr>
          <w:rFonts w:hint="eastAsia"/>
          <w:color w:val="auto"/>
        </w:rPr>
      </w:pPr>
      <w:r>
        <w:t>图</w:t>
      </w:r>
      <w:r>
        <w:rPr>
          <w:rFonts w:hint="eastAsia"/>
          <w:color w:val="auto"/>
        </w:rPr>
        <w:fldChar w:fldCharType="begin"/>
      </w:r>
      <w:r>
        <w:rPr>
          <w:rFonts w:hint="eastAsia"/>
          <w:color w:val="auto"/>
        </w:rPr>
        <w:instrText xml:space="preserve"> SEQ 图 \* ARABIC </w:instrText>
      </w:r>
      <w:r>
        <w:rPr>
          <w:rFonts w:hint="eastAsia"/>
          <w:color w:val="auto"/>
        </w:rPr>
        <w:fldChar w:fldCharType="separate"/>
      </w:r>
      <w:r>
        <w:rPr>
          <w:rFonts w:hint="eastAsia"/>
          <w:color w:val="auto"/>
        </w:rPr>
        <w:t>1</w:t>
      </w:r>
      <w:r>
        <w:rPr>
          <w:rFonts w:hint="eastAsia"/>
          <w:color w:val="auto"/>
        </w:rPr>
        <w:fldChar w:fldCharType="end"/>
      </w:r>
      <w:r>
        <w:rPr>
          <w:rFonts w:hint="eastAsia"/>
          <w:color w:val="auto"/>
          <w:lang w:val="en-US" w:eastAsia="zh-CN"/>
        </w:rPr>
        <w:t xml:space="preserve">  计算机平面设计</w:t>
      </w:r>
      <w:r>
        <w:rPr>
          <w:rFonts w:hint="eastAsia"/>
          <w:color w:val="auto"/>
        </w:rPr>
        <w:t>专业群组群逻辑图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计算机平面设计专业群以“艺术设计+文化创意”为组群思路，以商业、文化、生活对于艺术设计、文化教育的需求等为依据，对接粤港澳大湾区文化创意和设计服务产业。文化创意和设计服务产业，包括文化创意设计产业链、创意产品生产产业链、创意产品营销产业链和创意教育产业链，其中，文化创意设计产业链涵盖产品策划与制作、服装设计、平面设计、室内设计、工艺设计等环节，创意产品生产产业链涵盖服装生产、工艺品生产等环节；创意产品营销产业链涵盖市场调研、网络营销、产品推广、运营管理等环节，创意教育产业链涵盖托育教育、早教教育、幼儿保育、少儿教育等环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default"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服装设计与工艺专业对接文化创意和设计服务产业的文化创意设计和创意产品生产领域，主要培养能够从事服装设计、平面设计、服装制版、服装工艺、新媒体运营等工作的复合型技术技能人才。</w:t>
      </w:r>
    </w:p>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25" w:name="_Toc7952"/>
      <w:bookmarkStart w:id="26" w:name="_Toc30501"/>
      <w:bookmarkStart w:id="27" w:name="_Toc6665"/>
      <w:r>
        <w:rPr>
          <w:rFonts w:hint="eastAsia" w:eastAsia="黑体"/>
          <w:b/>
          <w:kern w:val="44"/>
          <w:sz w:val="30"/>
        </w:rPr>
        <w:t>职业面向</w:t>
      </w:r>
      <w:bookmarkEnd w:id="25"/>
      <w:bookmarkEnd w:id="26"/>
      <w:bookmarkEnd w:id="27"/>
    </w:p>
    <w:tbl>
      <w:tblPr>
        <w:tblStyle w:val="21"/>
        <w:tblW w:w="8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5"/>
        <w:gridCol w:w="4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2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专业</w:t>
            </w:r>
          </w:p>
        </w:tc>
        <w:tc>
          <w:tcPr>
            <w:tcW w:w="470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服装设计与工艺专业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2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所属专业大类（代码）</w:t>
            </w:r>
          </w:p>
        </w:tc>
        <w:tc>
          <w:tcPr>
            <w:tcW w:w="470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轻工纺织大类（68）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2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所属专业类（代码）</w:t>
            </w:r>
          </w:p>
        </w:tc>
        <w:tc>
          <w:tcPr>
            <w:tcW w:w="470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纺织服装类（6804）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2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对应行业（代码）</w:t>
            </w:r>
          </w:p>
        </w:tc>
        <w:tc>
          <w:tcPr>
            <w:tcW w:w="470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纺织服装、服饰业（18）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25" w:type="dxa"/>
            <w:tcMar>
              <w:top w:w="0" w:type="dxa"/>
              <w:left w:w="108" w:type="dxa"/>
              <w:bottom w:w="0" w:type="dxa"/>
              <w:right w:w="108" w:type="dxa"/>
            </w:tcMar>
            <w:vAlign w:val="center"/>
          </w:tcPr>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主要职业类别（代码）</w:t>
            </w:r>
          </w:p>
        </w:tc>
        <w:tc>
          <w:tcPr>
            <w:tcW w:w="4705" w:type="dxa"/>
            <w:tcMar>
              <w:top w:w="0" w:type="dxa"/>
              <w:left w:w="108" w:type="dxa"/>
              <w:bottom w:w="0" w:type="dxa"/>
              <w:right w:w="108" w:type="dxa"/>
            </w:tcMar>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服装制版师（6-05-01-01）；服装设计人员（2-09-06-02）；</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服装工程技术人员（2-02-23-05）；纺织面料设计师（4-08-08-02）；染织艺术设计人员（2-09-06-05）；</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色彩搭配师（4-08-08-04）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25" w:type="dxa"/>
            <w:tcMar>
              <w:top w:w="0" w:type="dxa"/>
              <w:left w:w="108" w:type="dxa"/>
              <w:bottom w:w="0" w:type="dxa"/>
              <w:right w:w="108" w:type="dxa"/>
            </w:tcMar>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主要岗位（群）或技术领域举例</w:t>
            </w:r>
          </w:p>
        </w:tc>
        <w:tc>
          <w:tcPr>
            <w:tcW w:w="4705" w:type="dxa"/>
            <w:tcMar>
              <w:top w:w="0" w:type="dxa"/>
              <w:left w:w="108" w:type="dxa"/>
              <w:bottom w:w="0" w:type="dxa"/>
              <w:right w:w="108" w:type="dxa"/>
            </w:tcMar>
            <w:vAlign w:val="center"/>
          </w:tcPr>
          <w:p>
            <w:pPr>
              <w:spacing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服装设计、形象设计 、平面设计、服装制版、服装工艺、新媒体运营等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725" w:type="dxa"/>
            <w:tcMar>
              <w:top w:w="0" w:type="dxa"/>
              <w:left w:w="108" w:type="dxa"/>
              <w:bottom w:w="0" w:type="dxa"/>
              <w:right w:w="108" w:type="dxa"/>
            </w:tcMar>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职业类证书举例</w:t>
            </w:r>
          </w:p>
        </w:tc>
        <w:tc>
          <w:tcPr>
            <w:tcW w:w="4705" w:type="dxa"/>
            <w:tcMar>
              <w:top w:w="0" w:type="dxa"/>
              <w:left w:w="108" w:type="dxa"/>
              <w:bottom w:w="0" w:type="dxa"/>
              <w:right w:w="108" w:type="dxa"/>
            </w:tcMar>
            <w:vAlign w:val="center"/>
          </w:tcPr>
          <w:p>
            <w:pPr>
              <w:spacing w:line="360" w:lineRule="auto"/>
              <w:ind w:firstLine="555"/>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服装制版师</w:t>
            </w:r>
          </w:p>
        </w:tc>
      </w:tr>
    </w:tbl>
    <w:p>
      <w:pPr>
        <w:keepNext/>
        <w:keepLines/>
        <w:numPr>
          <w:ilvl w:val="0"/>
          <w:numId w:val="2"/>
        </w:numPr>
        <w:spacing w:before="312" w:beforeLines="100" w:after="93" w:afterLines="30" w:line="460" w:lineRule="exact"/>
        <w:ind w:firstLine="602" w:firstLineChars="200"/>
        <w:outlineLvl w:val="0"/>
        <w:rPr>
          <w:rFonts w:eastAsia="黑体"/>
          <w:b/>
          <w:kern w:val="44"/>
          <w:sz w:val="30"/>
        </w:rPr>
      </w:pPr>
      <w:bookmarkStart w:id="28" w:name="_Toc5473"/>
      <w:bookmarkStart w:id="29" w:name="_Toc24550"/>
      <w:bookmarkStart w:id="30" w:name="_Toc12594"/>
      <w:bookmarkStart w:id="31" w:name="_Toc28297"/>
      <w:r>
        <w:rPr>
          <w:rFonts w:hint="eastAsia" w:eastAsia="黑体"/>
          <w:b/>
          <w:kern w:val="44"/>
          <w:sz w:val="30"/>
        </w:rPr>
        <w:t>培养目标</w:t>
      </w:r>
      <w:bookmarkEnd w:id="28"/>
      <w:bookmarkEnd w:id="29"/>
      <w:bookmarkEnd w:id="30"/>
      <w:r>
        <w:rPr>
          <w:rFonts w:hint="eastAsia" w:eastAsia="黑体"/>
          <w:b/>
          <w:kern w:val="44"/>
          <w:sz w:val="30"/>
        </w:rPr>
        <w:t>与培养规格</w:t>
      </w:r>
      <w:bookmarkEnd w:id="31"/>
    </w:p>
    <w:p>
      <w:pPr>
        <w:pStyle w:val="4"/>
        <w:numPr>
          <w:ilvl w:val="0"/>
          <w:numId w:val="3"/>
        </w:numPr>
        <w:spacing w:before="93" w:after="93"/>
        <w:ind w:firstLineChars="0"/>
      </w:pPr>
      <w:bookmarkStart w:id="32" w:name="_Toc24927"/>
      <w:r>
        <w:rPr>
          <w:rFonts w:hint="eastAsia"/>
        </w:rPr>
        <w:t>培养目标</w:t>
      </w:r>
      <w:bookmarkEnd w:id="32"/>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1、总体目标</w:t>
      </w:r>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本专业培养与我国社会主义现代化建设要求相适应，德，智，体，美全面发展，面向粤，港，澳大湾区的服饰行业(企业)从事服装工业化生产、服饰设计制造等工作任务的高素质复合型技术技能人才。</w:t>
      </w:r>
    </w:p>
    <w:p>
      <w:pPr>
        <w:spacing w:line="360" w:lineRule="auto"/>
        <w:ind w:firstLine="555"/>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2、分段培养目标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yellow"/>
          <w:lang w:val="en-US" w:eastAsia="zh-CN"/>
        </w:rPr>
      </w:pPr>
      <w:r>
        <w:rPr>
          <w:rFonts w:hint="eastAsia" w:ascii="宋体" w:hAnsi="宋体" w:eastAsia="宋体" w:cs="宋体"/>
          <w:kern w:val="2"/>
          <w:sz w:val="24"/>
          <w:szCs w:val="24"/>
          <w:lang w:val="en-US" w:eastAsia="zh-CN" w:bidi="ar-SA"/>
        </w:rPr>
        <w:t>中职阶段培养目标:</w:t>
      </w:r>
      <w:r>
        <w:rPr>
          <w:rFonts w:hint="eastAsia" w:ascii="宋体" w:hAnsi="宋体" w:eastAsia="宋体" w:cs="宋体"/>
          <w:color w:val="auto"/>
          <w:kern w:val="2"/>
          <w:sz w:val="24"/>
          <w:szCs w:val="22"/>
          <w:lang w:val="en-US" w:eastAsia="zh-CN" w:bidi="ar"/>
        </w:rPr>
        <w:t>本专业坚持立德树人，培养德智体美劳全面发展，掌握扎实的科学文化基础，面向文化创意和设计服务产业，掌握服装设计、版型设计、服装工艺、新媒体运营等专业知识，具备成衣款式设计、版型设计与变化、工艺制作与设计、服装营销等能力，具有工匠精神和信息素养，能够从事服装设计、平面设计、服装制版、服装工艺、新媒体运营等工作的复合型技术技能人才。</w:t>
      </w:r>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高职阶段培养目标:本专业主要面向珠三角、粤港澳大湾区，服务纺织服装、服饰行业（企业），培养思想政治坚定、德技并修、全面发展，掌握纺织服装与服饰行业相关专业理论知识，熟练纺织服装与服饰设计制造相关专业技能，具备职业综合素质，取得纺织服装与服饰行业相关职业资格证书，能用相关专业软件和硬件设备完成专业化设计服务、服装生产管理、服装营销、形象设计、会展庆典设计、工艺美术设计等工作任务的高素质复合型技术技能人才。</w:t>
      </w:r>
    </w:p>
    <w:p>
      <w:pPr>
        <w:spacing w:line="360" w:lineRule="auto"/>
        <w:ind w:firstLine="482" w:firstLineChars="200"/>
        <w:rPr>
          <w:rFonts w:hint="eastAsia" w:ascii="宋体" w:hAnsi="宋体" w:eastAsia="宋体" w:cs="宋体"/>
          <w:b/>
          <w:bCs/>
          <w:kern w:val="2"/>
          <w:sz w:val="24"/>
          <w:szCs w:val="24"/>
          <w:lang w:val="en-US" w:eastAsia="zh-CN" w:bidi="ar-SA"/>
        </w:rPr>
      </w:pPr>
      <w:bookmarkStart w:id="33" w:name="_Toc4745"/>
      <w:bookmarkStart w:id="34" w:name="_Toc26792"/>
      <w:bookmarkStart w:id="35" w:name="_Toc22177"/>
      <w:bookmarkStart w:id="36" w:name="_Toc6263"/>
      <w:r>
        <w:rPr>
          <w:rFonts w:hint="eastAsia" w:ascii="宋体" w:hAnsi="宋体" w:eastAsia="宋体" w:cs="宋体"/>
          <w:b/>
          <w:bCs/>
          <w:kern w:val="2"/>
          <w:sz w:val="24"/>
          <w:szCs w:val="24"/>
          <w:lang w:val="en-US" w:eastAsia="zh-CN" w:bidi="ar-SA"/>
        </w:rPr>
        <w:t>(二)、培养规格</w:t>
      </w:r>
      <w:bookmarkEnd w:id="33"/>
    </w:p>
    <w:bookmarkEnd w:id="34"/>
    <w:bookmarkEnd w:id="35"/>
    <w:bookmarkEnd w:id="36"/>
    <w:p>
      <w:pPr>
        <w:numPr>
          <w:ilvl w:val="0"/>
          <w:numId w:val="4"/>
        </w:numPr>
        <w:spacing w:line="360" w:lineRule="auto"/>
        <w:ind w:firstLine="555"/>
        <w:rPr>
          <w:rFonts w:hint="eastAsia" w:ascii="宋体" w:hAnsi="宋体" w:eastAsia="宋体" w:cs="宋体"/>
          <w:kern w:val="2"/>
          <w:sz w:val="24"/>
          <w:szCs w:val="24"/>
          <w:lang w:val="en-US" w:eastAsia="zh-CN" w:bidi="ar-SA"/>
        </w:rPr>
      </w:pPr>
      <w:bookmarkStart w:id="37" w:name="_Toc19603"/>
      <w:bookmarkStart w:id="38" w:name="_Toc20715"/>
      <w:bookmarkStart w:id="39" w:name="_Toc25813"/>
      <w:bookmarkStart w:id="40" w:name="_Toc4519"/>
      <w:r>
        <w:rPr>
          <w:rFonts w:hint="eastAsia" w:ascii="宋体" w:hAnsi="宋体" w:eastAsia="宋体" w:cs="宋体"/>
          <w:kern w:val="2"/>
          <w:sz w:val="24"/>
          <w:szCs w:val="24"/>
          <w:lang w:val="en-US" w:eastAsia="zh-CN" w:bidi="ar-SA"/>
        </w:rPr>
        <w:t>中职阶段人才培养规格: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1.坚定拥护中国共产党领导和中国特色社会主义制度，以习近平新时代中国特色社会主义思想为指导，践行社会主义核心价值观，具有坚定的理想信念、深厚的爱国情感和中华民族自豪感；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2.掌握与本专业群从事职业活动相关的国家法律、行业规定，掌握知识产权、安全防护、质量管理等相关知识与技能，了解设计、制作、运营、教育等相关产业文化，遵守职业道德准则和行为规范，具备社会责任感和担当精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3.掌握支撑本专业群学习和可持续发展必备的思想政治、语文、数学、英语等文化基础知识，具有良好的科学与人文素养，具备职业生涯规划能力；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4.具有良好的语言表达能力、文字表达能力、沟通合作能力，具有较强的集体意识和团队合作意识，学习一门外语并结合本专业加以运用；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5.掌握美术、艺术鉴赏、图形图像处理和摄影摄像等方面的专业基础知识；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6.具备终身学习和可持续发展的能力，具有一定的分析问题和解决问题的能力；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7.具有适应文化创意产业新业态需求的基本数字技能，掌握信息技术、办公软件应用基础知识；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8.掌握基本身体运动知识和至少1项体育运动技能，养成良好的运动习惯、卫生习惯和行为习惯；具备一定的心理调适能力；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9.掌握必备的美育知识，具有一定的文化修养、审美能力，有基本的把握时尚流行趋势的能力，会欣赏美和创造美；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10.培育劳模精神、劳动精神、工匠精神，弘扬劳动光荣、技能宝贵、创造伟大的时代精神，热爱劳动人民、珍惜劳动成果、树立劳动观念、积极投身劳动，具备与本专业职业发展相适应的劳动素养、劳动技能；</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11.熟悉服装材料基本特性和鉴别、服装缝制工艺的基本要求和操作等专业知识，具备整合服装款式、色彩、材料等多种要素、制作常见品类服装的能力；</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12.掌握和应用服装设计、服装结构设计的基本原理和方法，具备服装及服饰的初步设计、量体、制图、制样等基本能力；</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13.掌握服装电脑辅助设计软件的特点和使用方法，具备运用软件绘制服装款式图、纸样制作、样版放码和排料等能力；</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14.了解和应用服装立体的基本造型，具备根据设计要求进行服装立体造型、平面纸样检验与修正等能力；</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15.了解服装生产管理、质量控制等专业知识，初步具备服装生产质量控制与检测、基本维护和保养常用服装缝纫设备等能力；</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16.掌握新媒体数字营销方法，具备服装销售、导购、陈列等市场营销与服务的能力。</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2、高职阶段人才培养规格:</w:t>
      </w:r>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1）.素质要求</w:t>
      </w:r>
    </w:p>
    <w:p>
      <w:pPr>
        <w:spacing w:line="360" w:lineRule="auto"/>
        <w:ind w:firstLine="55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正确的世界观、人生观、价值观。坚决拥护中国共产党领导，树立中国特色社会主义共同理想，践行社会主义核心价值观，具有深厚的爱国情感、国家认同感、中华民族自豪感；崇尚宪法、遵守法律、遵规守纪；2、具有社会责任感和参与意识。</w:t>
      </w:r>
    </w:p>
    <w:p>
      <w:pPr>
        <w:pStyle w:val="31"/>
        <w:numPr>
          <w:ilvl w:val="0"/>
          <w:numId w:val="5"/>
        </w:numPr>
        <w:spacing w:line="440" w:lineRule="exact"/>
        <w:ind w:left="42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2）、知识要求</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（1）掌握必备的思想政治理论、科学文化基础知识和中华优秀传统文化知识。</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（2）熟悉国防安全教育常识、心理健康知识、创新创业知识。</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（3）熟悉与本专业相关的法律法规以及环境保护、安全消防等知识。</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（4）熟悉服装的发展历史和行业趋势。</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（5）掌握服装与服饰设计的基础理论和基本知识。</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（6）掌握服装与服饰设计表现的理论知识与方法。</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（7）掌握服装材料的理论和应用知识。</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（8）掌握服装结构与工艺制作的理论知识与方法。</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（9）掌握服装CAD制版的理论知识与方法。</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（10）掌握服装品牌策划、生产管理、运营管理的基本知识和方法。</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掌握计算机科学与技术的基本知识和基本操作方法</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（12）掌握中国传统文化和优秀手工技艺技能知识。</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3）、能力要求</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能用相关专业软件和硬件设备完成专业化设计服务、服装生产管理、服装营销、工艺美术与创意设计等工作任务</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具有探究学习、终身学习、分析问题和解决问题的能力。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具有良好的语言、文字表达能力和沟通能力。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能够正确分析和解决日常工作中遇到的困难和问题。</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 具有设计软件应用能力。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 具有基础服装样衣产品制作能力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 具有成衣款式设计开发能力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 具有设计方案制定完成能力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 具有基础设计应用能力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 具有基础图案设计能力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（10）具有基础化妆能力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（11）具有基础服装打版和缝纫能力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（12）具有服装效果图与款式图的手绘能力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（13）具有服装色彩搭配应用能力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（14）具有美术鉴赏基本能力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（15）具有把握服装风格的设计能力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（16）具有服饰面料的鉴别和再设计能力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（17）具有运用服装CAD软件进行服装纸样设计、样板放码和排料的能力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（18）具有设计产品市场营销策划能力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（19）具有基础发型设计造型能力</w:t>
      </w:r>
    </w:p>
    <w:p>
      <w:pPr>
        <w:pStyle w:val="31"/>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（20）具有服饰品设计及基础样品制作能力</w:t>
      </w:r>
    </w:p>
    <w:p>
      <w:pPr>
        <w:pStyle w:val="31"/>
        <w:spacing w:line="440" w:lineRule="exact"/>
        <w:ind w:left="1199" w:leftChars="228" w:hanging="720" w:hangingChars="3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（21）掌握英语一定的基础知识和基本技能，即基础听、说、读、写、译的能力。</w:t>
      </w:r>
    </w:p>
    <w:p>
      <w:pPr>
        <w:pStyle w:val="31"/>
        <w:spacing w:line="440" w:lineRule="exact"/>
        <w:ind w:left="1199" w:leftChars="228" w:hanging="720" w:hangingChars="3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（22）能够将中国传统技艺与创意设计结合进行服装与服饰产品开发的能力。</w:t>
      </w:r>
    </w:p>
    <w:p>
      <w:pPr>
        <w:keepNext/>
        <w:keepLines/>
        <w:numPr>
          <w:ilvl w:val="0"/>
          <w:numId w:val="2"/>
        </w:numPr>
        <w:spacing w:before="93" w:beforeLines="30" w:after="93" w:afterLines="30" w:line="460" w:lineRule="exact"/>
        <w:ind w:firstLine="602" w:firstLineChars="200"/>
        <w:outlineLvl w:val="0"/>
        <w:rPr>
          <w:rFonts w:eastAsia="黑体"/>
          <w:b/>
          <w:color w:val="auto"/>
          <w:kern w:val="44"/>
          <w:sz w:val="30"/>
        </w:rPr>
      </w:pPr>
      <w:bookmarkStart w:id="41" w:name="_Toc4600"/>
      <w:r>
        <w:rPr>
          <w:rFonts w:hint="eastAsia" w:eastAsia="黑体"/>
          <w:b/>
          <w:color w:val="auto"/>
          <w:kern w:val="44"/>
          <w:sz w:val="30"/>
        </w:rPr>
        <w:t>升学继续专业</w:t>
      </w:r>
      <w:bookmarkEnd w:id="41"/>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接续高职专业举例：服装设计与工艺、服装与服饰设计、服装陈列与展示设计。</w:t>
      </w:r>
    </w:p>
    <w:p>
      <w:pPr>
        <w:pStyle w:val="2"/>
      </w:pPr>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42" w:name="_Toc2833"/>
      <w:r>
        <w:rPr>
          <w:rFonts w:hint="eastAsia" w:eastAsia="黑体"/>
          <w:b/>
          <w:kern w:val="44"/>
          <w:sz w:val="30"/>
        </w:rPr>
        <w:t>课程设置及要求</w:t>
      </w:r>
      <w:bookmarkEnd w:id="37"/>
      <w:bookmarkEnd w:id="38"/>
      <w:bookmarkEnd w:id="39"/>
      <w:bookmarkEnd w:id="40"/>
      <w:bookmarkEnd w:id="42"/>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本专业课程设置分为公共基础课程和专业课程。</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专业课程包括专业群平台课、专业基础课程、专业核心课程、专业拓展课程，并涵盖实训等有关实践性教学环节。</w:t>
      </w:r>
    </w:p>
    <w:p>
      <w:pPr>
        <w:pStyle w:val="2"/>
      </w:pPr>
    </w:p>
    <w:p>
      <w:pPr>
        <w:pStyle w:val="4"/>
        <w:numPr>
          <w:ilvl w:val="0"/>
          <w:numId w:val="6"/>
        </w:numPr>
        <w:spacing w:before="93" w:after="93"/>
        <w:ind w:firstLineChars="0"/>
      </w:pPr>
      <w:bookmarkStart w:id="43" w:name="_Toc26889"/>
      <w:r>
        <w:rPr>
          <w:rFonts w:hint="eastAsia"/>
        </w:rPr>
        <w:t>公共基础课程教学内容及要求</w:t>
      </w:r>
      <w:bookmarkEnd w:id="43"/>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军训及入学</w:t>
            </w:r>
          </w:p>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教育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bCs/>
                <w:sz w:val="21"/>
                <w:szCs w:val="21"/>
              </w:rPr>
              <w:t>依据中等职业学校军训及入学教育相关要求开设，通过本课程的学习，提高学生的政治觉悟，激发爱国热情，发扬革命英雄主义精神，培养艰苦奋斗</w:t>
            </w:r>
            <w:r>
              <w:rPr>
                <w:rFonts w:hint="eastAsia" w:ascii="宋体" w:hAnsi="宋体" w:eastAsia="宋体" w:cs="宋体"/>
                <w:bCs/>
                <w:sz w:val="21"/>
                <w:szCs w:val="21"/>
                <w:lang w:eastAsia="zh-CN"/>
              </w:rPr>
              <w:t>、</w:t>
            </w:r>
            <w:r>
              <w:rPr>
                <w:rFonts w:hint="eastAsia" w:ascii="宋体" w:hAnsi="宋体" w:eastAsia="宋体" w:cs="宋体"/>
                <w:bCs/>
                <w:sz w:val="21"/>
                <w:szCs w:val="21"/>
              </w:rPr>
              <w:t>刻苦耐劳的坚强毅力和集体主义精神</w:t>
            </w:r>
            <w:r>
              <w:rPr>
                <w:rFonts w:hint="eastAsia" w:ascii="宋体" w:hAnsi="宋体" w:eastAsia="宋体" w:cs="宋体"/>
                <w:bCs/>
                <w:sz w:val="21"/>
                <w:szCs w:val="21"/>
                <w:lang w:eastAsia="zh-CN"/>
              </w:rPr>
              <w:t>，</w:t>
            </w:r>
            <w:r>
              <w:rPr>
                <w:rFonts w:hint="eastAsia" w:ascii="宋体" w:hAnsi="宋体" w:eastAsia="宋体" w:cs="宋体"/>
                <w:bCs/>
                <w:sz w:val="21"/>
                <w:szCs w:val="21"/>
              </w:rPr>
              <w:t>养成良好的学风和生活作风，引导学生适应校园生活，帮助学校了解学校、了解专业、了解学习的内容和目的。</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劳动与行为</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习惯养成教育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val="zh-CN"/>
              </w:rPr>
              <w:t>立德树人根本任务，</w:t>
            </w:r>
            <w:r>
              <w:rPr>
                <w:rFonts w:hint="eastAsia" w:ascii="宋体" w:hAnsi="宋体" w:eastAsia="宋体" w:cs="宋体"/>
                <w:color w:val="auto"/>
                <w:sz w:val="21"/>
                <w:szCs w:val="21"/>
                <w:highlight w:val="none"/>
                <w:lang w:val="zh-CN" w:eastAsia="zh-CN"/>
              </w:rPr>
              <w:t>学生在工农业生产过程中直接经历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习近平新时代读本</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val="zh-CN"/>
              </w:rPr>
              <w:t>立德树人根本任务，</w:t>
            </w:r>
            <w:r>
              <w:rPr>
                <w:rFonts w:hint="eastAsia" w:ascii="宋体" w:hAnsi="宋体" w:cs="宋体"/>
                <w:color w:val="auto"/>
                <w:sz w:val="21"/>
                <w:szCs w:val="21"/>
                <w:highlight w:val="none"/>
                <w:lang w:val="en-US" w:eastAsia="zh-CN"/>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中国特色</w:t>
            </w:r>
          </w:p>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zh-CN"/>
              </w:rPr>
              <w:t>社会主义</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心理健康与</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职业生涯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哲学与人生</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职业道德与</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法治</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highlight w:val="none"/>
                <w:lang w:val="zh-CN"/>
              </w:rPr>
              <w:t>信息技术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在义务教育的基础上，通过理论知识学习、基础技能训练和综合应用实践，培养学生符合时代要求的信息素养和适应职业发展需要的信息能力。</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highlight w:val="none"/>
                <w:lang w:val="zh-CN"/>
              </w:rPr>
              <w:t>历史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落实立德树人的根本任务，通过本课程</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学习，</w:t>
            </w:r>
            <w:r>
              <w:rPr>
                <w:rFonts w:hint="eastAsia" w:ascii="宋体" w:hAnsi="宋体" w:eastAsia="宋体" w:cs="宋体"/>
                <w:color w:val="auto"/>
                <w:sz w:val="21"/>
                <w:szCs w:val="21"/>
                <w:highlight w:val="none"/>
                <w:lang w:val="en-US" w:eastAsia="zh-CN"/>
              </w:rPr>
              <w:t>使学生</w:t>
            </w:r>
            <w:r>
              <w:rPr>
                <w:rFonts w:hint="eastAsia" w:ascii="宋体" w:hAnsi="宋体" w:eastAsia="宋体" w:cs="宋体"/>
                <w:color w:val="auto"/>
                <w:sz w:val="21"/>
                <w:szCs w:val="21"/>
                <w:highlight w:val="none"/>
                <w:lang w:val="zh-CN"/>
              </w:rPr>
              <w:t>掌握必备的历史知识，形成历史学科核心素养。</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val="en-US" w:eastAsia="zh-CN"/>
              </w:rPr>
              <w:t>公共</w:t>
            </w:r>
            <w:r>
              <w:rPr>
                <w:rFonts w:hint="eastAsia" w:ascii="宋体" w:hAnsi="宋体" w:eastAsia="宋体" w:cs="宋体"/>
                <w:color w:val="auto"/>
                <w:sz w:val="21"/>
                <w:szCs w:val="21"/>
                <w:highlight w:val="none"/>
                <w:lang w:val="zh-CN"/>
              </w:rPr>
              <w:t>艺术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落实立德树人根本任务，学生通过艺术鉴赏与实践等活动，发展艺术感知、审美判断、创意表达和文化理解等艺术核心素养。</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zh-CN"/>
              </w:rPr>
              <w:t>体育与健康</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落实立德树人的根本任务，以体育人，增强学生体质，通过本课程</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学习，帮助学生在体育锻炼中享受乐趣、增强体质、健全人格、锤炼意志，使学生在运动能力、健康行为和体育精神三方面获得全面发展。</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语文</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w:t>
            </w:r>
            <w:r>
              <w:rPr>
                <w:rFonts w:hint="eastAsia" w:ascii="宋体" w:hAnsi="宋体" w:eastAsia="宋体" w:cs="宋体"/>
                <w:color w:val="auto"/>
                <w:sz w:val="21"/>
                <w:szCs w:val="21"/>
                <w:highlight w:val="none"/>
                <w:lang w:val="en-US" w:eastAsia="zh-CN"/>
              </w:rPr>
              <w:t>通过本课程的学习，学生</w:t>
            </w:r>
            <w:r>
              <w:rPr>
                <w:rFonts w:hint="eastAsia" w:ascii="宋体" w:hAnsi="宋体" w:eastAsia="宋体" w:cs="宋体"/>
                <w:color w:val="auto"/>
                <w:sz w:val="21"/>
                <w:szCs w:val="21"/>
                <w:highlight w:val="none"/>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数学</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学生获得继续学习、未来工作和发展所必需的数学基础知识、基本技能、基本思想和基本活动经验，</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zh-CN"/>
              </w:rPr>
              <w:t>从数学角度发现和提出问题的能力、运用数学知识和思想方法分析和解决问题的能力。</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英语</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落实立德树人根本任务，在义务教育的基础上，</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进一步激发学生英语学习的兴趣，帮助学生掌握基础知识和基本技能，发展英语学科核心素养，为学生的职业生涯、继续学习和终身发展奠定基础。</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bl>
    <w:p>
      <w:pPr>
        <w:pStyle w:val="4"/>
        <w:numPr>
          <w:ilvl w:val="0"/>
          <w:numId w:val="6"/>
        </w:numPr>
        <w:bidi w:val="0"/>
        <w:ind w:left="0" w:leftChars="0" w:firstLine="420" w:firstLineChars="0"/>
        <w:rPr>
          <w:rFonts w:hint="default"/>
          <w:color w:val="auto"/>
          <w:lang w:val="en-US" w:eastAsia="zh-CN"/>
        </w:rPr>
      </w:pPr>
      <w:bookmarkStart w:id="44" w:name="_Toc9486"/>
      <w:bookmarkStart w:id="45" w:name="_Toc29602"/>
      <w:bookmarkStart w:id="46" w:name="_Toc23959"/>
      <w:r>
        <w:rPr>
          <w:rFonts w:hint="eastAsia"/>
          <w:color w:val="auto"/>
          <w:lang w:val="en-US" w:eastAsia="zh-CN"/>
        </w:rPr>
        <w:t>专业课程教学内容及要求</w:t>
      </w:r>
      <w:bookmarkEnd w:id="44"/>
      <w:bookmarkEnd w:id="45"/>
      <w:bookmarkEnd w:id="46"/>
    </w:p>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1.专业群平台课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美术基础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群平台</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课程的学习，学生掌握由简入繁、循序渐进的教学程序，克服素描缺少三面五调，色彩绘画因各种原因所造成的“脏、粉、灰、花、生、变色”等问题，从而能够熟练地掌握静物组合素描、水粉色彩的作品绘画。</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艺术鉴赏</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课程的学习，学生熟悉中外各历史时期的重要画派、画家和经典美术作品，开阔眼界，丰富知识，提高艺术审美和美术鉴赏能力，</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lang w:val="zh-CN"/>
              </w:rPr>
              <w:t>运用自己的视觉感知、过去已经有的生活经验和文化知识对美术作品进行感受、体验、联想、分析和判断，获得审美享受，并理解美术作品与美术现象的活动，</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掌握获得审美享受、提高审美能力、陶冶情操、理解美术作品与美术现象的特殊的精神活动，也是鉴赏者能够对美术作品再创作的过程。</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图形图像基础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w:t>
            </w:r>
            <w:r>
              <w:rPr>
                <w:rFonts w:hint="eastAsia" w:ascii="宋体" w:hAnsi="宋体" w:eastAsia="宋体" w:cs="宋体"/>
                <w:i w:val="0"/>
                <w:iCs w:val="0"/>
                <w:color w:val="000000"/>
                <w:kern w:val="0"/>
                <w:sz w:val="21"/>
                <w:szCs w:val="21"/>
                <w:u w:val="none"/>
                <w:lang w:val="en-US" w:eastAsia="zh-CN" w:bidi="ar"/>
              </w:rPr>
              <w:t>通过本课程的学习，学生能熟悉图形图像处理的基本方法，全面掌握Photoshop操作应用的各个知识点及在平面设计中的应用，结合网络营销的策划需求，熟练对图片进行简单的加工处理，并且进行一定的创意设计。</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影像技术基础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w:t>
            </w:r>
            <w:r>
              <w:rPr>
                <w:rFonts w:hint="eastAsia" w:ascii="宋体" w:hAnsi="宋体" w:eastAsia="宋体" w:cs="宋体"/>
                <w:i w:val="0"/>
                <w:iCs w:val="0"/>
                <w:color w:val="000000"/>
                <w:kern w:val="0"/>
                <w:sz w:val="21"/>
                <w:szCs w:val="21"/>
                <w:u w:val="none"/>
                <w:lang w:val="en-US" w:eastAsia="zh-CN" w:bidi="ar"/>
              </w:rPr>
              <w:t>通过本课程的学习，</w:t>
            </w:r>
            <w:r>
              <w:rPr>
                <w:rFonts w:hint="eastAsia" w:ascii="宋体" w:hAnsi="宋体" w:eastAsia="宋体" w:cs="宋体"/>
                <w:color w:val="auto"/>
                <w:sz w:val="21"/>
                <w:szCs w:val="21"/>
                <w:lang w:val="zh-CN"/>
              </w:rPr>
              <w:t>学生了解摄影与摄影设备的基本知识，掌握构图、采光、取景及后期制作等技能，可以独立完成景物、人物的拍摄，并具有一定的审美价值。</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2.专业基础课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2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服装工艺基础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基础</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服装零部件以及裤子、裙子、上衣等基本款式的制作工艺流程及方法、重点款式的零部件制作和常规款式成衣制作基本操作要领，能够通过分析服装款式的基本特点，灵活运用工艺手段，进行常规款式成衣的制作。</w:t>
            </w:r>
          </w:p>
        </w:tc>
        <w:tc>
          <w:tcPr>
            <w:tcW w:w="1130" w:type="dxa"/>
            <w:vAlign w:val="center"/>
          </w:tcPr>
          <w:p>
            <w:pPr>
              <w:keepNext w:val="0"/>
              <w:keepLines w:val="0"/>
              <w:pageBreakBefore w:val="0"/>
              <w:widowControl/>
              <w:suppressLineNumbers w:val="0"/>
              <w:kinsoku/>
              <w:wordWrap/>
              <w:overflowPunct/>
              <w:topLinePunct w:val="0"/>
              <w:bidi w:val="0"/>
              <w:snapToGrid/>
              <w:spacing w:line="32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2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服装材料</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基础</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服装面料种类、组织构造、服用性能、鉴别与保养知识，具备识别常用面料、辅料和合理选择与使用服装材料的能力，能够完成服装面料市场调研、服装面辅料样板收集、服装物料卡制作、服装面料质量检验。</w:t>
            </w:r>
          </w:p>
        </w:tc>
        <w:tc>
          <w:tcPr>
            <w:tcW w:w="1130" w:type="dxa"/>
            <w:vAlign w:val="center"/>
          </w:tcPr>
          <w:p>
            <w:pPr>
              <w:keepNext w:val="0"/>
              <w:keepLines w:val="0"/>
              <w:pageBreakBefore w:val="0"/>
              <w:widowControl/>
              <w:suppressLineNumbers w:val="0"/>
              <w:kinsoku/>
              <w:wordWrap/>
              <w:overflowPunct/>
              <w:topLinePunct w:val="0"/>
              <w:bidi w:val="0"/>
              <w:snapToGrid/>
              <w:spacing w:line="32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3.专业核心课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2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服装设计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i w:val="0"/>
                <w:iCs w:val="0"/>
                <w:color w:val="000000"/>
                <w:kern w:val="0"/>
                <w:sz w:val="21"/>
                <w:szCs w:val="21"/>
                <w:u w:val="none"/>
                <w:lang w:val="en-US" w:eastAsia="zh-CN" w:bidi="ar"/>
              </w:rPr>
              <w:t>学生掌握款式图、效果图、设计单绘制</w:t>
            </w:r>
            <w:r>
              <w:rPr>
                <w:rFonts w:hint="eastAsia" w:ascii="宋体" w:hAnsi="宋体" w:cs="宋体"/>
                <w:i w:val="0"/>
                <w:iCs w:val="0"/>
                <w:color w:val="000000"/>
                <w:kern w:val="0"/>
                <w:sz w:val="21"/>
                <w:szCs w:val="21"/>
                <w:u w:val="none"/>
                <w:lang w:val="en-US" w:eastAsia="zh-CN" w:bidi="ar"/>
              </w:rPr>
              <w:t>方法；</w:t>
            </w:r>
            <w:r>
              <w:rPr>
                <w:rFonts w:hint="eastAsia" w:ascii="宋体" w:hAnsi="宋体" w:eastAsia="宋体" w:cs="宋体"/>
                <w:i w:val="0"/>
                <w:iCs w:val="0"/>
                <w:color w:val="000000"/>
                <w:kern w:val="0"/>
                <w:sz w:val="21"/>
                <w:szCs w:val="21"/>
                <w:u w:val="none"/>
                <w:lang w:val="en-US" w:eastAsia="zh-CN" w:bidi="ar"/>
              </w:rPr>
              <w:t>掌握成衣设计的要素和设计步骤；掌握成衣品牌类型、品牌风格、品牌运营策略及流行趋势收集、市场调研分析的方法</w:t>
            </w:r>
            <w:r>
              <w:rPr>
                <w:rFonts w:hint="eastAsia" w:ascii="宋体" w:hAnsi="宋体" w:cs="宋体"/>
                <w:i w:val="0"/>
                <w:iCs w:val="0"/>
                <w:color w:val="000000"/>
                <w:kern w:val="0"/>
                <w:sz w:val="21"/>
                <w:szCs w:val="21"/>
                <w:u w:val="none"/>
                <w:lang w:val="en-US" w:eastAsia="zh-CN" w:bidi="ar"/>
              </w:rPr>
              <w:t>；从而</w:t>
            </w:r>
            <w:r>
              <w:rPr>
                <w:rFonts w:hint="eastAsia" w:ascii="宋体" w:hAnsi="宋体" w:eastAsia="宋体" w:cs="宋体"/>
                <w:i w:val="0"/>
                <w:iCs w:val="0"/>
                <w:color w:val="000000"/>
                <w:kern w:val="0"/>
                <w:sz w:val="21"/>
                <w:szCs w:val="21"/>
                <w:u w:val="none"/>
                <w:lang w:val="en-US" w:eastAsia="zh-CN" w:bidi="ar"/>
              </w:rPr>
              <w:t>能够整合款式、色彩、面料等要素和成衣设计原理进行系列服装设计和虚拟品牌开发。</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服装电脑辅助设计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i w:val="0"/>
                <w:iCs w:val="0"/>
                <w:color w:val="000000"/>
                <w:kern w:val="0"/>
                <w:sz w:val="21"/>
                <w:szCs w:val="21"/>
                <w:u w:val="none"/>
                <w:lang w:val="en-US" w:eastAsia="zh-CN" w:bidi="ar"/>
              </w:rPr>
              <w:t>学生掌握服装款式结构线稿、色彩、图案、面料和服装人体的表现方法和表现技巧，具备应用AI、PS、CDR等软件进行服装款式图、服装效果图、作品集和企划编排设计的能力，能够根据创意构思进行电脑效果图与款式图的整体造型和系列设计，并进行版式设计。</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立体造型设计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w:t>
            </w:r>
            <w:r>
              <w:rPr>
                <w:rFonts w:hint="eastAsia" w:ascii="宋体" w:hAnsi="宋体" w:eastAsia="宋体" w:cs="宋体"/>
                <w:i w:val="0"/>
                <w:iCs w:val="0"/>
                <w:color w:val="000000"/>
                <w:kern w:val="0"/>
                <w:sz w:val="21"/>
                <w:szCs w:val="21"/>
                <w:u w:val="none"/>
                <w:lang w:val="en-US" w:eastAsia="zh-CN" w:bidi="ar"/>
              </w:rPr>
              <w:t>立体裁剪准备工作、立体裁剪的基础造型、立体裁剪的款式变化、立体造型设计、立体裁剪实物制作、立体裁剪作品展示等方法与步骤；掌握当前服装行业立体版型及设计制作方法，并且能够独立完成从设计构思、裁剪、制作全过程。</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成衣制作</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w:t>
            </w:r>
            <w:r>
              <w:rPr>
                <w:rFonts w:hint="eastAsia" w:ascii="宋体" w:hAnsi="宋体" w:eastAsia="宋体" w:cs="宋体"/>
                <w:i w:val="0"/>
                <w:iCs w:val="0"/>
                <w:color w:val="000000"/>
                <w:kern w:val="0"/>
                <w:sz w:val="21"/>
                <w:szCs w:val="21"/>
                <w:u w:val="none"/>
                <w:lang w:val="en-US" w:eastAsia="zh-CN" w:bidi="ar"/>
              </w:rPr>
              <w:t>日常服装的测量、裁剪、缝制、熨烫的基本要求和现代服装企业裁剪、缝纫、后整理流水线生产技术基本工艺流程，能分析设计图稿风格特征、灵活运用工艺手段、合理进行服装各类部件制作的技能，独立完成一般服装典型品种的裁剪、缝制和熨烫。</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手工布艺</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i w:val="0"/>
                <w:iCs w:val="0"/>
                <w:color w:val="000000"/>
                <w:kern w:val="0"/>
                <w:sz w:val="21"/>
                <w:szCs w:val="21"/>
                <w:u w:val="none"/>
                <w:lang w:val="en-US" w:eastAsia="zh-CN" w:bidi="ar"/>
              </w:rPr>
              <w:t>学生掌握服装裁剪的基础理论和基本方法，认识人体各部位与服装结构的关系，理解服装从平面到立体的转变过程，会应用标准制图符合和规范的制图次序、常规服装品种的裁剪方法、演变规律、工艺技巧等，从而获得从事服装设计和生产工作的必备的专业技能。</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形象设计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i w:val="0"/>
                <w:iCs w:val="0"/>
                <w:color w:val="000000"/>
                <w:kern w:val="0"/>
                <w:sz w:val="21"/>
                <w:szCs w:val="21"/>
                <w:u w:val="none"/>
                <w:lang w:val="en-US" w:eastAsia="zh-CN" w:bidi="ar"/>
              </w:rPr>
              <w:t>学生把握设计的精髓，捕捉典型特征，强化人物形象的个性特点，通过各种手法的技法练习，学生从初学到掌握多种形式的绘制技巧，从而通过图案绘画训练提高学生的创作能力，提高学生对人物形象和服装设计形式美的表达能力。</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服装结构设计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i w:val="0"/>
                <w:iCs w:val="0"/>
                <w:color w:val="000000"/>
                <w:kern w:val="0"/>
                <w:sz w:val="21"/>
                <w:szCs w:val="21"/>
                <w:u w:val="none"/>
                <w:lang w:val="en-US" w:eastAsia="zh-CN" w:bidi="ar"/>
              </w:rPr>
              <w:t>学生掌握服装成品制作的过程、方法和技巧，从而提高学生从虚拟构思到平面显示再到使用面料完成立体构成转变能力。</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服装CAD版型设计与制作</w:t>
            </w:r>
          </w:p>
        </w:tc>
        <w:tc>
          <w:tcPr>
            <w:tcW w:w="6170" w:type="dxa"/>
            <w:vAlign w:val="center"/>
          </w:tcPr>
          <w:p>
            <w:pPr>
              <w:keepNext w:val="0"/>
              <w:keepLines w:val="0"/>
              <w:pageBreakBefore w:val="0"/>
              <w:widowControl/>
              <w:kinsoku/>
              <w:wordWrap/>
              <w:overflowPunct/>
              <w:topLinePunct w:val="0"/>
              <w:bidi w:val="0"/>
              <w:snapToGrid/>
              <w:spacing w:line="34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cs="宋体"/>
                <w:color w:val="auto"/>
                <w:sz w:val="21"/>
                <w:szCs w:val="21"/>
              </w:rPr>
              <w:t>本课程</w:t>
            </w:r>
            <w:r>
              <w:rPr>
                <w:rFonts w:hint="eastAsia" w:ascii="宋体" w:hAnsi="宋体" w:cs="宋体"/>
                <w:color w:val="auto"/>
                <w:sz w:val="21"/>
                <w:szCs w:val="21"/>
                <w:lang w:val="en-US" w:eastAsia="zh-CN"/>
              </w:rPr>
              <w:t>为</w:t>
            </w:r>
            <w:r>
              <w:rPr>
                <w:rFonts w:hint="eastAsia" w:ascii="宋体" w:hAnsi="宋体" w:cs="宋体"/>
                <w:color w:val="auto"/>
                <w:sz w:val="21"/>
                <w:szCs w:val="21"/>
              </w:rPr>
              <w:t>课证融通</w:t>
            </w:r>
            <w:r>
              <w:rPr>
                <w:rFonts w:hint="eastAsia" w:ascii="宋体" w:hAnsi="宋体" w:eastAsia="宋体" w:cs="宋体"/>
                <w:color w:val="auto"/>
                <w:sz w:val="21"/>
                <w:szCs w:val="21"/>
                <w:lang w:val="en-US" w:eastAsia="zh-CN"/>
              </w:rPr>
              <w:t>核心</w:t>
            </w:r>
            <w:r>
              <w:rPr>
                <w:rFonts w:hint="eastAsia" w:ascii="宋体" w:hAnsi="宋体" w:cs="宋体"/>
                <w:color w:val="auto"/>
                <w:sz w:val="21"/>
                <w:szCs w:val="21"/>
              </w:rPr>
              <w:t>课程，对接服装制版师技能等级</w:t>
            </w:r>
            <w:r>
              <w:rPr>
                <w:rFonts w:hint="eastAsia" w:ascii="宋体" w:hAnsi="宋体" w:cs="宋体"/>
                <w:color w:val="auto"/>
                <w:sz w:val="21"/>
                <w:szCs w:val="21"/>
                <w:lang w:val="en-US" w:eastAsia="zh-CN"/>
              </w:rPr>
              <w:t>证书（中级）</w:t>
            </w:r>
            <w:r>
              <w:rPr>
                <w:rFonts w:hint="eastAsia" w:ascii="宋体" w:hAnsi="宋体" w:cs="宋体"/>
                <w:color w:val="auto"/>
                <w:sz w:val="21"/>
                <w:szCs w:val="21"/>
              </w:rPr>
              <w:t>要求。</w:t>
            </w:r>
            <w:r>
              <w:rPr>
                <w:rFonts w:hint="eastAsia" w:ascii="宋体" w:hAnsi="宋体" w:eastAsia="宋体" w:cs="宋体"/>
                <w:color w:val="auto"/>
                <w:sz w:val="21"/>
                <w:szCs w:val="21"/>
                <w:lang w:val="zh-CN"/>
              </w:rPr>
              <w:t>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w:t>
            </w:r>
            <w:r>
              <w:rPr>
                <w:rFonts w:hint="eastAsia" w:ascii="宋体" w:hAnsi="宋体" w:eastAsia="宋体" w:cs="宋体"/>
                <w:i w:val="0"/>
                <w:iCs w:val="0"/>
                <w:color w:val="000000"/>
                <w:kern w:val="0"/>
                <w:sz w:val="21"/>
                <w:szCs w:val="21"/>
                <w:u w:val="none"/>
                <w:lang w:val="en-US" w:eastAsia="zh-CN" w:bidi="ar"/>
              </w:rPr>
              <w:t>服装电脑设计制图、排板的软件运用方法，能够使用先进的服装CAD软件进行实际生产的产品设计和排版工作，为今后开展相关的工作打下一定的基础。</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4.专业拓展课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文案设计与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撰写</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z w:val="21"/>
                <w:szCs w:val="21"/>
                <w:lang w:val="en-US" w:eastAsia="zh-CN"/>
              </w:rPr>
              <w:t>本</w:t>
            </w:r>
            <w:r>
              <w:rPr>
                <w:rFonts w:hint="eastAsia" w:ascii="宋体" w:hAnsi="宋体" w:eastAsia="宋体" w:cs="宋体"/>
                <w:sz w:val="21"/>
                <w:szCs w:val="21"/>
              </w:rPr>
              <w:t>课程属于专业</w:t>
            </w:r>
            <w:r>
              <w:rPr>
                <w:rFonts w:hint="eastAsia" w:ascii="宋体" w:hAnsi="宋体" w:eastAsia="宋体" w:cs="宋体"/>
                <w:color w:val="auto"/>
                <w:sz w:val="21"/>
                <w:szCs w:val="21"/>
                <w:lang w:val="en-US" w:eastAsia="zh-CN"/>
              </w:rPr>
              <w:t>群拓展课</w:t>
            </w:r>
            <w:r>
              <w:rPr>
                <w:rFonts w:hint="eastAsia" w:ascii="宋体" w:hAnsi="宋体" w:eastAsia="宋体" w:cs="宋体"/>
                <w:sz w:val="21"/>
                <w:szCs w:val="21"/>
              </w:rPr>
              <w:t>，</w:t>
            </w:r>
            <w:r>
              <w:rPr>
                <w:rFonts w:hint="eastAsia" w:ascii="宋体" w:hAnsi="宋体" w:eastAsia="宋体" w:cs="宋体"/>
                <w:sz w:val="21"/>
                <w:szCs w:val="21"/>
                <w:lang w:val="en-US" w:eastAsia="zh-CN"/>
              </w:rPr>
              <w:t>通过本课程的学习，学生掌握</w:t>
            </w:r>
            <w:r>
              <w:rPr>
                <w:rFonts w:hint="eastAsia" w:ascii="宋体" w:hAnsi="宋体" w:eastAsia="宋体" w:cs="宋体"/>
                <w:i w:val="0"/>
                <w:iCs w:val="0"/>
                <w:color w:val="auto"/>
                <w:kern w:val="0"/>
                <w:sz w:val="21"/>
                <w:szCs w:val="21"/>
                <w:u w:val="none"/>
                <w:lang w:val="en-US" w:eastAsia="zh-CN" w:bidi="ar"/>
              </w:rPr>
              <w:t>软文营销的基本概念、软文的类型、标题和正文的设计方法，软文的创意、写作技巧和方法，从而能够根据企业营销的策略，针对消费者在购物过程中的购买心理，结合产品特征撰写推广信息与宣传软文。</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营销策划与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品牌推广</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napToGrid w:val="0"/>
                <w:kern w:val="0"/>
                <w:sz w:val="21"/>
                <w:szCs w:val="21"/>
                <w:lang w:val="en-US" w:eastAsia="zh-CN" w:bidi="zh-CN"/>
              </w:rPr>
              <w:t>本课程属于专业群拓展课，通过本课程的学习，学生了解推销的基本理论和基本策略技巧，掌握人员推销和网络推销的基本程序流程、方法、技巧和策略，具有寻找潜在顾客和接近顾客的能力，能做好推销各环节的准备工作，形成实际推销能力，树立职业道德意识和学会立业创业的本领。</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沟通礼仪与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技巧</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napToGrid w:val="0"/>
                <w:kern w:val="0"/>
                <w:sz w:val="21"/>
                <w:szCs w:val="21"/>
                <w:lang w:val="en-US" w:eastAsia="zh-CN" w:bidi="zh-CN"/>
              </w:rPr>
              <w:t>本课程属于专业群拓展课，通过本课程的学习，</w:t>
            </w:r>
            <w:r>
              <w:rPr>
                <w:rFonts w:hint="eastAsia" w:ascii="宋体" w:hAnsi="宋体" w:cs="宋体"/>
                <w:snapToGrid w:val="0"/>
                <w:kern w:val="0"/>
                <w:sz w:val="21"/>
                <w:szCs w:val="21"/>
                <w:lang w:val="en-US" w:eastAsia="zh-CN" w:bidi="zh-CN"/>
              </w:rPr>
              <w:t>加深</w:t>
            </w:r>
            <w:r>
              <w:rPr>
                <w:rFonts w:hint="eastAsia" w:ascii="宋体" w:hAnsi="宋体" w:eastAsia="宋体" w:cs="宋体"/>
                <w:color w:val="auto"/>
                <w:sz w:val="21"/>
                <w:szCs w:val="21"/>
                <w:lang w:val="zh-CN"/>
              </w:rPr>
              <w:t>学生对沟通与礼仪的重要性的认识，了解沟通的基本技巧、方法，仪容、仪表、仪态礼仪、交际礼仪的方法和技巧，掌握沟通与礼仪的基本原理，熟练运用沟通与礼仪的知识、技巧和原理，提升人际交往的素养，</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全方位打造学生的沟通技能、交际技能、提升礼仪和素质，帮助大学生实现从“大学生”到“社会人”和“职业人”的转变。</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108</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5.实践课</w:t>
      </w:r>
    </w:p>
    <w:tbl>
      <w:tblPr>
        <w:tblStyle w:val="21"/>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widowControl/>
              <w:suppressLineNumbers w:val="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0"/>
                <w:szCs w:val="20"/>
                <w:u w:val="none"/>
                <w:lang w:val="en-US" w:eastAsia="zh-CN" w:bidi="ar"/>
              </w:rPr>
              <w:t>生产实习（职业体验）</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根据本</w:t>
            </w:r>
            <w:r>
              <w:rPr>
                <w:rFonts w:hint="default" w:ascii="宋体" w:hAnsi="宋体" w:eastAsia="宋体" w:cs="宋体"/>
                <w:color w:val="auto"/>
                <w:sz w:val="21"/>
                <w:szCs w:val="21"/>
                <w:lang w:val="en-US" w:eastAsia="zh-CN"/>
              </w:rPr>
              <w:t>专业特点设置实践环节</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学生</w:t>
            </w:r>
            <w:r>
              <w:rPr>
                <w:rFonts w:hint="eastAsia" w:ascii="宋体" w:hAnsi="宋体" w:eastAsia="宋体" w:cs="宋体"/>
                <w:color w:val="auto"/>
                <w:sz w:val="21"/>
                <w:szCs w:val="21"/>
                <w:lang w:val="en-US" w:eastAsia="zh-CN"/>
              </w:rPr>
              <w:t>能够</w:t>
            </w:r>
            <w:r>
              <w:rPr>
                <w:rFonts w:hint="default" w:ascii="宋体" w:hAnsi="宋体" w:eastAsia="宋体" w:cs="宋体"/>
                <w:color w:val="auto"/>
                <w:sz w:val="21"/>
                <w:szCs w:val="21"/>
                <w:lang w:val="en-US" w:eastAsia="zh-CN"/>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widowControl/>
              <w:suppressLineNumbers w:val="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0"/>
                <w:szCs w:val="20"/>
                <w:u w:val="none"/>
                <w:lang w:val="en-US" w:eastAsia="zh-CN" w:bidi="ar"/>
              </w:rPr>
              <w:t>顶岗实习</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sz w:val="21"/>
                <w:szCs w:val="21"/>
                <w:lang w:val="en-US" w:eastAsia="zh-CN"/>
              </w:rPr>
              <w:t>学生到企事业单位的现场，在本专业相关的实践岗位上，通过辅助、协作或独立实践等方式进入职业岗位。</w:t>
            </w:r>
          </w:p>
        </w:tc>
        <w:tc>
          <w:tcPr>
            <w:tcW w:w="1130"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540</w:t>
            </w:r>
          </w:p>
        </w:tc>
      </w:tr>
    </w:tbl>
    <w:p/>
    <w:p>
      <w:pPr>
        <w:numPr>
          <w:ilvl w:val="0"/>
          <w:numId w:val="0"/>
        </w:numPr>
        <w:spacing w:line="360" w:lineRule="auto"/>
        <w:jc w:val="center"/>
        <w:rPr>
          <w:rFonts w:hint="eastAsia" w:ascii="微软雅黑" w:hAnsi="微软雅黑" w:eastAsia="微软雅黑" w:cs="微软雅黑"/>
          <w:b w:val="0"/>
          <w:bCs w:val="0"/>
          <w:sz w:val="28"/>
          <w:szCs w:val="28"/>
          <w:lang w:val="en-US" w:eastAsia="zh-CN"/>
        </w:rPr>
      </w:pPr>
      <w:bookmarkStart w:id="47" w:name="_Toc15469"/>
      <w:bookmarkStart w:id="48" w:name="_Toc6844"/>
      <w:bookmarkStart w:id="49" w:name="_Toc4433"/>
      <w:bookmarkStart w:id="50" w:name="_Toc6693"/>
      <w:r>
        <w:rPr>
          <w:rFonts w:hint="eastAsia" w:ascii="微软雅黑" w:hAnsi="微软雅黑" w:eastAsia="微软雅黑" w:cs="微软雅黑"/>
          <w:b w:val="0"/>
          <w:bCs w:val="0"/>
          <w:sz w:val="28"/>
          <w:szCs w:val="28"/>
          <w:lang w:val="en-US" w:eastAsia="zh-CN"/>
        </w:rPr>
        <w:t>高职阶段课程设置及要求</w:t>
      </w:r>
    </w:p>
    <w:p>
      <w:pPr>
        <w:autoSpaceDE w:val="0"/>
        <w:autoSpaceDN w:val="0"/>
        <w:adjustRightInd w:val="0"/>
        <w:spacing w:line="330" w:lineRule="exact"/>
        <w:rPr>
          <w:rFonts w:hint="eastAsia" w:ascii="Arial" w:hAnsi="Arial" w:eastAsia="华文楷体" w:cstheme="minorBidi"/>
          <w:b/>
          <w:kern w:val="2"/>
          <w:sz w:val="28"/>
          <w:szCs w:val="24"/>
          <w:lang w:val="zh-CN" w:eastAsia="zh-CN" w:bidi="ar-SA"/>
        </w:rPr>
      </w:pPr>
      <w:r>
        <w:rPr>
          <w:rFonts w:hint="eastAsia" w:ascii="Arial" w:hAnsi="Arial" w:eastAsia="华文楷体" w:cstheme="minorBidi"/>
          <w:b/>
          <w:kern w:val="2"/>
          <w:sz w:val="28"/>
          <w:szCs w:val="24"/>
          <w:lang w:val="en-US" w:eastAsia="zh-CN" w:bidi="ar-SA"/>
        </w:rPr>
        <w:t>（</w:t>
      </w:r>
      <w:r>
        <w:rPr>
          <w:rFonts w:hint="eastAsia" w:ascii="Arial" w:hAnsi="Arial" w:eastAsia="华文楷体" w:cstheme="minorBidi"/>
          <w:b/>
          <w:kern w:val="2"/>
          <w:sz w:val="28"/>
          <w:szCs w:val="24"/>
          <w:lang w:val="zh-CN" w:eastAsia="zh-CN" w:bidi="ar-SA"/>
        </w:rPr>
        <w:t>一）公共基础课程</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1.课程名称：军事理论（含国防教育） （学时：36）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知识：通过军事理论课教学，让学生掌握中国国防的基本政策、国家安全形式和国际战略形势，中国古代和当代军事思想、新军事革命、信息化战争等军事基础知识。</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能力：通过军事理论课教学，增强学生的国防观念、国家安全意识和忧患危机意识，弘扬爱国主义精神、传承红色基因、提高学生综合国防素质。</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素质：围绕立德树人根本任务和强军目标根本要求，以提升学生国防意识和军事素养为重点，为实施军民融合发展战略和建设国防后备力量服务。</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军事理论课是高等职业院校学生的必修课程。军事理论课要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2.课程名称：军事技能（学时：112）</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知识：通过军事技能课教学，让学生掌握人民解放军共同条令、射击与战术、防卫技能与战时防护、战备基础等军事技能基础知识。</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能力：通过军事技能课教学，增强学生的国防观念、国家安全意识和忧患危机意识，弘扬爱国主义精神、传承红色基因、提高学生综合国防素质。</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素质：围绕立德树人根本任务和强军目标根本要求，以提升学生国防意识和军事素养为重点，为实施军民融合发展战略和建设国防后备力量服务。</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军事技能课是高等职业院校学生的必修课程。军事技能课要以习近平强军思想和习近平总书记关于教育的重要论述为遵循，全面贯彻党的教育方针、新时代军事战略方针和总体国家安全观，通过军事技能教学，让学生了解掌握军事技能基础知识和基本军事技能，增强国防观念、国家安全意识和忧患危机意识，弘扬爱国主义精神、传承红色基因、提高学生综合国防素质，围绕立德树人根本任务和强军目标根本要求，着眼培育和践行社会主义核心价值观，以提升学生国防意识和军事素养为重点，为实施军民融合发展战略和建设国防后备力量服务。</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3.课程名称：大学生心理健康教育（学时：36学时）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了解基本心理发展规律与特点、掌握心理健康知识；树立心理健康意识，增强心理韧性，掌握心理调适技能，具备应对压力、挫折、心理危机等的相应技能；能正确认识自我、悦纳自我、探索及发展自我。</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课程目标：按照教育部与广东省课程标准要求，在心理健康知识、自我调适技能和自我认知三个层面达到考核合格。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4.课程名称：职业健康与体能训练（学时：36学时）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通过学习掌握健康和职业病等内容，能制定并执行职业健康规划和职业病防控计划；能分析职业岗位所需身体素养，制定并执行基础体能训练、职业体能训练计划；掌握1-2项可终身锻炼的运动技能；成为具有良好体魄、团队意识、顽强精神，能科学锻炼、健康生活的高素质技能型人才。</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课程目标：《国家学生体质健康标准》测试达标，按课程标准要求，达到合格。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5.课程名称：思想道德与法治 （学时：54学时）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树立马克思主义的人生观、价值观、道德观、法治观，筑牢理想信念之基，传承中华传统美德，弘扬中国精神，培育和践行社会主义核心价值观；具备良好的社会公德、职业道德、家庭美德和个人品德修养；具备较强的法治意识、良好的法治思维，尊重和维护宪法法律权威，自觉尊法学法守法用法。</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课程目标：按照教育部和课程标准的要求，达到合格。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6.课程名称：毛泽东思想和中国特色社会主义理论体系概论（学时：72学时）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掌握马克思主义中国化理论成果的基本原理；理解毛泽东思想、邓小平理论、“三个代表”重要思想、科学发展观、习近平新时代中国特色社会主义思想是一脉相承又与时俱进的科学体系；深刻理解中国共产党为什么能、马克思主义为什么行、中国特色社会主义为什么好，坚定“四个自信”；具备运用马克思主义理论观察、分析和科学处理现实问题的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课程目标：按照教育部和课程标准的要求，达到合格。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7.课程名称：形势与政策（学时：32学时）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掌握党的理论创新最新成果，新时代坚持和发展中国特色社会主义的生动实践，马克思主义形势观政策观、党的路线方针政策、基本国情、国内外形势及其热点难点问题；准确理解当代中国马克思主义，深刻领会党和国家事业取得的历史性成就、面临的历史性机遇和挑战；正确认识世界和中国发展大势，正确认识中国特色和国际比较，正确认识时代责任和历史使命，正确认识远大抱负和脚踏实地。</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课程目标：按照教育部和课程标准的要求，达到合格。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8.课程名称：劳动教育（学时：16学时）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掌握社会主义建设者和接班人的劳动精神面貌、劳动价值取向和劳动技能水平的基本要求；树立正确的劳动观念，具有必备的劳动能力，培育积极的劳动精神，养成良好的劳动习惯和品质。</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课程目标：按照教育部和课程标准的要求，达到合格。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9.课程名称：大学生职业生涯规划与就业指导（学时：36）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知识、能力、素质要求：通过课程学习，掌握自我探索技能、信息搜索与管理技能、生涯决策技能、求职技能，使学生求职择业能力、就业能力增强、提高职业素养。</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培养大学生熟知国家针对应届毕业生有关“三支一扶”、“自主创业”、“预征兵”等活动优惠政策，以及报到证、暂缓就业等相关毕业流程。使应届毕业生能够较好的掌控就业形势、根据自身情况制定出较好的职业规划。</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大学生职业生涯规划与就业指导》是面向全院在校生开设的一门公共必选课程。本课程以培养大学生就业能力和职业素质为目的，把大学生的就业指导和大学生活的全过程贯穿在一起，通过理论学习和实践操作，帮助大学生树立正确的职业观、价值观和人生观，指导大学生在了解国家的就业政策及法规前提下，增强自身全面素质，科学、合理规划职业生涯，树立正确的职业理想和择业观念，掌握求职择业的方法与技巧、提升就业能力，顺应时势要求，成功实现就业。</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（二）专业必修课程</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专业基础课程</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 课程名称：基础化妆（学时：36）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知识要求：学生系统的了解化妆基础知识，以及化妆色彩的知识，掌握人类容貌的美学标准，了解基础化妆技术的理论和原则。认识化妆品的种类和选择使用方法、化妆造型与服装展示设计的关系。</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能力要求：熟练掌握基础化妆技巧，具备良好的审美、观察、丰富想象力的能力。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素质要求：具备良好的美学素养，良好的沟通表达能力，及敏锐的眼光。</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通过本课程的学习，实现“知识传授”和“价值引领”的有机统一，理论知识目标:使学生了解基础化妆知识和技能，提高审美。实践操作目标：使学生熟练掌握多种妆面造型的化妆技法，要求学生充分利用局部化妆的技巧和矫正化妆的知识，进行整个妆面的塑造，独立完成指定妆面造型的设计。通过此课程的学习能更好的结合到服装设计学，灵活运用，为学生从事服装设计行业增添色彩和打下良好的整体形象设计专业基础。</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2.课程名称：服装材料 （学时：36）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（1）掌握成衣面料基础知识（2）了解常用织物种类以及特性（3）熟悉面料市场常用语言的知识（4）掌握不同类型服装适配的面料范畴（5）了解不同服装材料搭配设计的原则</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（6）成衣面料的风格特征（7）市场成衣面料流行趋势（8）主题创意设计的构思方法（9）面料主题创意再造的基本技法</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掌握区分不同面料种类的能力（2）了解面料市场，能够再市场种准确找到面料的能力（3）掌握面料市场小批量采购的方式的能力（4）精准定位不同类型服装适配面料的能力（5）掌握服装材料搭配风格设计的能力（6）基本市场调研的能力（7）正确分析面料主题风格元素特征的能力（8）安排创意设计程序的能力（9）把握流行趋势的能力（10）创意使用面料进行二次再造的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引导学生认识到面料的重要性和价值（2）培养材料时尚意识，引导学生用好奇心、探索与积极主动的心态解决问题，通过材料把想法变成现实。（3）引导学生不畏惧真实的市场，敢于在实地调研中与商家沟通（4）引导学生用实际工作方式成熟的、立体的、全面的去思考服装面料搭配设计，提高学生的专业自信心。（5）发挥独特的创造性进行设计（6）深入体会专业学习与市场工作的联系性</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让学生对服饰织物的概念与特性及面辅材料市场有基本的认知（2）让学生对不同服装材料适配的服装款式类型及材料与材料之间互相的搭配方法有基本的了解。（3）结合国际面料流行以及品牌面料流行趋势，了解市场成衣材料的使用方式，并能有了解材料的基础上进行主题创意面料再造设计</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3.课程名称：服装风格设计（学时：36）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明确服装风格设计的概念、涵义，了解中西方各个时期代表性服装风格样式与其产生的背景。（2）能够对服装的起源，中西方服装（学时：54）史的发展走向，社会、文化、设计师等各方面对服装风格的形成所造成的影响有一定了解。</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通过介绍中西方服装史上主要服装设计风格的特点、工艺及形成演变过程，使学生了解服装的历史与现状，开阔视野积累知识，能全面认识服饰发展的历史，掌握服饰美及其发展源流，能正确处理服装主题与风格的关系。并以所学到的知识、分析风格的能力，于实地考察调研当代服装品牌风格、背后演变史至最后自己创作风格的过程中，提升学生认识、分析及学习如何创作服装风格的实操能力。（2）能辨认出中西方每个时期的服装主要风格、代表人物及形成原因。</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课程教学与爱国主义教育相结合，课程教学与价值观培养相结合，增强学生的爱国意识，增强民族自信自豪感，引导学生进行中国特色设计理念思考和中国元素在设计中的实际运用，在培养专业人才专业知识和专业技能的同时，引导学生建立健康的目标追求与正确的价值观，同时加强关于社会、人生的探讨。为学生更好地学习其它专业课程，成长为一名合格的服饰设计工作者奠定了一定的基础。（2）能够深入理解服装风格的内涵，提升学生的专业素质，加强学生的专业热情。</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了解服装风格设计课程概念、目标、意义，对中西方各个时期的服装风格演变过程及主要代表服装样式有一定的学习与了解。（2）通过对经典服装风格各个方面的细致分析，理清其来龙去脉和发展状况，并结合设计师的作品进行分析，让学生对经典时装设计风格有一个正确的理解，使学生能在在经典的基础上融入最新设计理念进行再开发再创造。（3）让学生对现代市场主流的服装分格有一个熟悉与了解，并且能够通过目前市场上的各品牌的服装特点分析其服装风格定位，并结合市场流行趋势针对品牌风格设计。</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4.课程名称：服装配饰设计（学时：36）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（1）熟练掌握服饰配件设计基础知识和搭配知识；（2）了解服饰配件消费心理研究结果；（3）了解服饰配件设计规律和方法；（4）熟悉服饰配件原材料及工艺的基本知识。</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（1）通过本课程的学习和实践培养各类服饰品选材能力；（2）具备较熟练的各类服饰品的设计能力；（3）具有服饰配件搭配审美能力。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（1）具有必备的理论知识、基本方法和技能。（2）具有个人自学能力，努力开创自我设计风格。（3）具有资料的收集整理与概括提炼能力。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学生通过本门课程的学习，通过对包袋、鞋子、帽子、围巾、首饰等方面进行不同方位的练习和系统的训练，通过选取其中几种常见手工艺方法作为切入点，让学生充分把握各类服饰配件的起源、分类、特点、设计方法和流行趋势，最终能够进行服饰配件与服装款式造型配套方案的设计与应用。</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专业核心课程</w:t>
      </w:r>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成衣立体造型 （课时：54）</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（1）掌握立体裁剪的基础手法的细节与规范要求，知道布料在人台上的造型规则知识。</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2）掌握用立体裁剪方式，制作原型，基本造型方法，局部造型方法。（3）学生掌握立体裁剪的基础知识，面料及大头针的使用方法作为操作的起步，一定要规范，人台标志线的贴附的准确性关系到造型的平衡与稳定，需要高度重视，要学好立体裁剪，首先要把握好基础，学生不可急于求成。</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立足于培养服装设计专业学生掌握服装立体结构原理，能够熟练而准确的运用服装立体结构与设计的关系，重点对学生的动手能力进行一定强度的训练，同时要求学生学会作品从图纸到实物的全过程。</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2. </w:t>
      </w:r>
      <w:r>
        <w:rPr>
          <w:rFonts w:hint="eastAsia" w:ascii="宋体" w:hAnsi="宋体" w:eastAsia="宋体" w:cs="宋体"/>
          <w:sz w:val="24"/>
          <w:lang w:val="zh-CN" w:eastAsia="zh-CN"/>
        </w:rPr>
        <w:tab/>
      </w:r>
      <w:r>
        <w:rPr>
          <w:rFonts w:hint="eastAsia" w:ascii="宋体" w:hAnsi="宋体" w:eastAsia="宋体" w:cs="宋体"/>
          <w:sz w:val="24"/>
          <w:lang w:val="zh-CN" w:eastAsia="zh-CN"/>
        </w:rPr>
        <w:t>成衣设计 （课时：54）</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w:t>
      </w:r>
      <w:r>
        <w:rPr>
          <w:rFonts w:hint="eastAsia" w:ascii="宋体" w:hAnsi="宋体" w:eastAsia="宋体" w:cs="宋体"/>
          <w:sz w:val="24"/>
          <w:lang w:val="zh-CN" w:eastAsia="zh-CN"/>
        </w:rPr>
        <w:tab/>
      </w:r>
      <w:r>
        <w:rPr>
          <w:rFonts w:hint="eastAsia" w:ascii="宋体" w:hAnsi="宋体" w:eastAsia="宋体" w:cs="宋体"/>
          <w:sz w:val="24"/>
          <w:lang w:val="zh-CN" w:eastAsia="zh-CN"/>
        </w:rPr>
        <w:t>能针对目标市场开展服装调研并撰写服装市场调查分析报告；(2)</w:t>
      </w:r>
      <w:r>
        <w:rPr>
          <w:rFonts w:hint="eastAsia" w:ascii="宋体" w:hAnsi="宋体" w:eastAsia="宋体" w:cs="宋体"/>
          <w:sz w:val="24"/>
          <w:lang w:val="zh-CN" w:eastAsia="zh-CN"/>
        </w:rPr>
        <w:tab/>
      </w:r>
      <w:r>
        <w:rPr>
          <w:rFonts w:hint="eastAsia" w:ascii="宋体" w:hAnsi="宋体" w:eastAsia="宋体" w:cs="宋体"/>
          <w:sz w:val="24"/>
          <w:lang w:val="zh-CN" w:eastAsia="zh-CN"/>
        </w:rPr>
        <w:t>能根据目标定位搜集和整理相关素材；(3)</w:t>
      </w:r>
      <w:r>
        <w:rPr>
          <w:rFonts w:hint="eastAsia" w:ascii="宋体" w:hAnsi="宋体" w:eastAsia="宋体" w:cs="宋体"/>
          <w:sz w:val="24"/>
          <w:lang w:val="zh-CN" w:eastAsia="zh-CN"/>
        </w:rPr>
        <w:tab/>
      </w:r>
      <w:r>
        <w:rPr>
          <w:rFonts w:hint="eastAsia" w:ascii="宋体" w:hAnsi="宋体" w:eastAsia="宋体" w:cs="宋体"/>
          <w:sz w:val="24"/>
          <w:lang w:val="zh-CN" w:eastAsia="zh-CN"/>
        </w:rPr>
        <w:t>能将设计素材转换为设计灵感，并运用计算机辅助软件完成设计；(4)</w:t>
      </w:r>
      <w:r>
        <w:rPr>
          <w:rFonts w:hint="eastAsia" w:ascii="宋体" w:hAnsi="宋体" w:eastAsia="宋体" w:cs="宋体"/>
          <w:sz w:val="24"/>
          <w:lang w:val="zh-CN" w:eastAsia="zh-CN"/>
        </w:rPr>
        <w:tab/>
      </w:r>
      <w:r>
        <w:rPr>
          <w:rFonts w:hint="eastAsia" w:ascii="宋体" w:hAnsi="宋体" w:eastAsia="宋体" w:cs="宋体"/>
          <w:sz w:val="24"/>
          <w:lang w:val="zh-CN" w:eastAsia="zh-CN"/>
        </w:rPr>
        <w:t>能根据客户的要求进行服装风格的定位于分析；(5)</w:t>
      </w:r>
      <w:r>
        <w:rPr>
          <w:rFonts w:hint="eastAsia" w:ascii="宋体" w:hAnsi="宋体" w:eastAsia="宋体" w:cs="宋体"/>
          <w:sz w:val="24"/>
          <w:lang w:val="zh-CN" w:eastAsia="zh-CN"/>
        </w:rPr>
        <w:tab/>
      </w:r>
      <w:r>
        <w:rPr>
          <w:rFonts w:hint="eastAsia" w:ascii="宋体" w:hAnsi="宋体" w:eastAsia="宋体" w:cs="宋体"/>
          <w:sz w:val="24"/>
          <w:lang w:val="zh-CN" w:eastAsia="zh-CN"/>
        </w:rPr>
        <w:t>能分析鉴赏服装设计作品。</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w:t>
      </w:r>
      <w:r>
        <w:rPr>
          <w:rFonts w:hint="eastAsia" w:ascii="宋体" w:hAnsi="宋体" w:eastAsia="宋体" w:cs="宋体"/>
          <w:sz w:val="24"/>
          <w:lang w:val="zh-CN" w:eastAsia="zh-CN"/>
        </w:rPr>
        <w:tab/>
      </w:r>
      <w:r>
        <w:rPr>
          <w:rFonts w:hint="eastAsia" w:ascii="宋体" w:hAnsi="宋体" w:eastAsia="宋体" w:cs="宋体"/>
          <w:sz w:val="24"/>
          <w:lang w:val="zh-CN" w:eastAsia="zh-CN"/>
        </w:rPr>
        <w:t xml:space="preserve">系统学习服装款式设计的美学原理，掌握形式美要素、形式美法则以及服装造型中的点、线、面、体的形态构成；(2)了解服装款式设计色彩与图案；(3)了解服装款式程序与方法；(4)通过对CorelDRAW软件的学习，掌握该软件进行设计想法的表达； </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素质目标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w:t>
      </w:r>
      <w:r>
        <w:rPr>
          <w:rFonts w:hint="eastAsia" w:ascii="宋体" w:hAnsi="宋体" w:eastAsia="宋体" w:cs="宋体"/>
          <w:sz w:val="24"/>
          <w:lang w:val="zh-CN" w:eastAsia="zh-CN"/>
        </w:rPr>
        <w:tab/>
      </w:r>
      <w:r>
        <w:rPr>
          <w:rFonts w:hint="eastAsia" w:ascii="宋体" w:hAnsi="宋体" w:eastAsia="宋体" w:cs="宋体"/>
          <w:sz w:val="24"/>
          <w:lang w:val="zh-CN" w:eastAsia="zh-CN"/>
        </w:rPr>
        <w:t>树立热爱本职工作，敢于创新的职业意识和职业情感；(2)</w:t>
      </w:r>
      <w:r>
        <w:rPr>
          <w:rFonts w:hint="eastAsia" w:ascii="宋体" w:hAnsi="宋体" w:eastAsia="宋体" w:cs="宋体"/>
          <w:sz w:val="24"/>
          <w:lang w:val="zh-CN" w:eastAsia="zh-CN"/>
        </w:rPr>
        <w:tab/>
      </w:r>
      <w:r>
        <w:rPr>
          <w:rFonts w:hint="eastAsia" w:ascii="宋体" w:hAnsi="宋体" w:eastAsia="宋体" w:cs="宋体"/>
          <w:sz w:val="24"/>
          <w:lang w:val="zh-CN" w:eastAsia="zh-CN"/>
        </w:rPr>
        <w:t>培养分析判断能力；(3)通过市场调研、素材收集整理，强化学生市场意识，培养学生信息处理的能力；(4)通过产品设计与修改，树立细致严谨的工作态度，培养学生经受挫折、应对挑战的素质；(5)通过系列设计，培养良好的职业素质、审美意识与高尚的审美情操；(6)</w:t>
      </w:r>
      <w:r>
        <w:rPr>
          <w:rFonts w:hint="eastAsia" w:ascii="宋体" w:hAnsi="宋体" w:eastAsia="宋体" w:cs="宋体"/>
          <w:sz w:val="24"/>
          <w:lang w:val="zh-CN" w:eastAsia="zh-CN"/>
        </w:rPr>
        <w:tab/>
      </w:r>
      <w:r>
        <w:rPr>
          <w:rFonts w:hint="eastAsia" w:ascii="宋体" w:hAnsi="宋体" w:eastAsia="宋体" w:cs="宋体"/>
          <w:sz w:val="24"/>
          <w:lang w:val="zh-CN" w:eastAsia="zh-CN"/>
        </w:rPr>
        <w:t>培养专业技能的综合运用能力；(7)</w:t>
      </w:r>
      <w:r>
        <w:rPr>
          <w:rFonts w:hint="eastAsia" w:ascii="宋体" w:hAnsi="宋体" w:eastAsia="宋体" w:cs="宋体"/>
          <w:sz w:val="24"/>
          <w:lang w:val="zh-CN" w:eastAsia="zh-CN"/>
        </w:rPr>
        <w:tab/>
      </w:r>
      <w:r>
        <w:rPr>
          <w:rFonts w:hint="eastAsia" w:ascii="宋体" w:hAnsi="宋体" w:eastAsia="宋体" w:cs="宋体"/>
          <w:sz w:val="24"/>
          <w:lang w:val="zh-CN" w:eastAsia="zh-CN"/>
        </w:rPr>
        <w:t>通过不同的系列设计，培养学生的综合应变能力。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根据服装与服饰设计职业岗位（群）典型工作任务和职业能力及素质要求为依据确定课程目标，直接为专业的就业岗位服务。通过本课程的学习，使学生形成较快的适应设计行业高速工作模式；形成使用计算机辅助设计快速地表达设计理念的能力；形成结合客户、市场和个人特色三方合一的设计风格；形成较好的沟通能力及团队合作能力；为养成一个全面的服装设计师所应具备的职业素养与能力打基础。</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3. 服装CAD制版（课时：54）</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了解服装CAD的特点，使用的软件与硬件设备，不同品牌的CAD软件的对比及区别，CAD技术和服装专业术语解释。服装CAD行业发展，岗位要求。（2）掌握工具使用方法，CAD打板技术、CAD推板技术、服装排料技术，了解CAD读图技术、CAD输出技术。（3）有一定的手工打板基础，缝纫技术基础，立体裁剪基础，在学习服装CAD时，只需要工具的使用方法，就能运用CAD进行基础的打板。让繁杂的手工结构制图，放码，排版等工作更简单起来。快速拟补学生手工打板课程技术未能掌握的技术知识。</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学生快速了解、学习ET服装CAD，快速提高操作技能和工作效率并达到活学活用、别开生面地使用工具和功能，以解决服装打板实际工作中遇到的问题。</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4.服装专题设计（学时：54）</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了解礼服、牛仔服装、针织服装、运动服装、休闲装、童装、内衣、职业装、裘皮时装设计的知识要点（2）掌握分辨不同类型服装面料、市场品牌和基础设计能力（3）提升学生的服装设计师岗位的专业素质，加强学生的专业热情。</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w:t>
      </w:r>
      <w:bookmarkStart w:id="51" w:name="_Hlk104804792"/>
      <w:r>
        <w:rPr>
          <w:rFonts w:hint="eastAsia" w:ascii="宋体" w:hAnsi="宋体" w:eastAsia="宋体" w:cs="宋体"/>
          <w:sz w:val="24"/>
          <w:lang w:val="zh-CN" w:eastAsia="zh-CN"/>
        </w:rPr>
        <w:t>了解服装专题设计课程概念、目标、意义，对专题服装款式开发流程</w:t>
      </w:r>
      <w:bookmarkEnd w:id="51"/>
      <w:r>
        <w:rPr>
          <w:rFonts w:hint="eastAsia" w:ascii="宋体" w:hAnsi="宋体" w:eastAsia="宋体" w:cs="宋体"/>
          <w:sz w:val="24"/>
          <w:lang w:val="zh-CN" w:eastAsia="zh-CN"/>
        </w:rPr>
        <w:t>有一定的学习与了解。（2）</w:t>
      </w:r>
      <w:bookmarkStart w:id="52" w:name="_Hlk104804775"/>
      <w:r>
        <w:rPr>
          <w:rFonts w:hint="eastAsia" w:ascii="宋体" w:hAnsi="宋体" w:eastAsia="宋体" w:cs="宋体"/>
          <w:sz w:val="24"/>
          <w:lang w:val="zh-CN" w:eastAsia="zh-CN"/>
        </w:rPr>
        <w:t>通过对各种不同类型服装设计特点的学习，使学生可以对礼服、牛仔服装、针织服装、运动服装、休闲装、童装、内衣、职业装、裘皮时装设计进行再开发再创造</w:t>
      </w:r>
      <w:bookmarkEnd w:id="52"/>
      <w:r>
        <w:rPr>
          <w:rFonts w:hint="eastAsia" w:ascii="宋体" w:hAnsi="宋体" w:eastAsia="宋体" w:cs="宋体"/>
          <w:sz w:val="24"/>
          <w:lang w:val="zh-CN" w:eastAsia="zh-CN"/>
        </w:rPr>
        <w:t>。</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（三）公共限选课程</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1.课程名称：马克思主义中国化进程与青年学生使命担当（学时：20学时）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掌握马克思主义诞生以来的时代特点、马克思主义在中国的发展、不同时代青年的责任担当；认识中国特色社会主义新时代的方位，明确坚持中国共产党的领导，以人民为中心，为实现“两个一百年”奋斗目标，实现中华民族伟大复兴的中国梦而奋斗的当代使命担当；掌握马克思主义世界观和方法论，树立中国特色社会主义道路自信、理论自信、制度自信、文化自信。</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课程目标：按照广东省教育厅和课程标准的要求，达到合格。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2.课程名称：艺术高职实用英语（学时：36学时）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知识、能力、素质要求：掌握发音、造句、篇章处理的基础知识。具备勤阅读、能听懂、能对话、会翻译和写作的能力。语言基础较扎实，具有爱党爱国能讲“中国故事”的社会文化能力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大部分学生能通过全国英语应用能力B级考试、部分学生能通过大学英语四级考试、部分学生能够通过专插本考试。能够应对最基本的日常英语对话。能够借助网络软件查找、阅读解决其专业需求的英文文献资料。</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3.课程名称：艺术概论 （学时：32学时）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提高学生的综合艺术素养，培养学生对艺术理论的认知和思考能力，为专业学习奠定一定的理论基础；使学生掌握不同艺术门类的共性原理，了解不同艺术门类的各自特点，了解艺术与文化的关系；能够初步运用理论知识对艺术作品进行分析、阐释及解决艺术实践中的问题。</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课程目标：按照课程标准要求考核，达到合格。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en-US" w:eastAsia="zh-CN"/>
        </w:rPr>
        <w:t>4、</w:t>
      </w:r>
      <w:r>
        <w:rPr>
          <w:rFonts w:hint="eastAsia" w:ascii="宋体" w:hAnsi="宋体" w:eastAsia="宋体" w:cs="宋体"/>
          <w:sz w:val="24"/>
          <w:lang w:val="zh-CN" w:eastAsia="zh-CN"/>
        </w:rPr>
        <w:t>.课程名称：国家安全教育（学时：16学时）</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知识、能力、素质要求：掌握总体国家安全观的内涵和精神实质，理解中国特色国家安全体系，树立国家安全底线思维，将国家安全意识转化为自觉行动，强化责任担当；具备国家安全意识和维护国家安全能力。</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课程目标：按照教育部和课程标准的要求，达到合格。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（四）专业限选课程</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1.课程名称：现代设计史（学时：36）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本课程具体的要求在于学生能系统地了解设计师的发展与设计史，对从前现代时期设计艺术发展、现代主义设计的萌芽蓝牙时期到正式进入现代主义时期，再到后来的后工业的后现代主义时期这些不同时期的主要特征、主要流派、著名设计师们的思想倾向和具体的作品能够进行分析和评价，科学地理出设计艺术的线索。以设计为主要研究对象，重点考察设计的特殊性和个别性，力求阐明设计的一般原理和普遍规律。通过系统学习比较全面地把握对此时期设计史的认识，了解设计作品的优秀，增强设计艺术素养，为设计工作打下坚实的基础。</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目标：通过本课程的学习，激发学生对整个现代设计发展变化的兴趣，使学生较全面的掌握现代设计艺术的发展概况，并在了解现代设计艺术史发展的基础上，能初步进行对各种设计风格的融汇学习，从而完成对设计理念的学习认知目的。</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目标：通过学习，增长学生见识，激发学生对整个现代设计发展变化的兴趣。能理解不同时期、不同国家、不同风格流派的设计艺术的审美特征、艺术思想，并对其具体的代表作品进行评价，增强设计美学的素养，为艺术设计创作打下坚实的基础。</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情感目标：在学习过程中逐渐形成爱国意识和国际视野。保持积极的学习态度。在教学中不断激发并强化学生的学习兴趣，并引导他们逐渐将兴趣转化为稳定的学习动机，通过各个领域设计师们的成长史的学习，使他们树立自信心，增强克服困难的意志，认识到自己学习的优势与不足，乐于与他人合作，养成和谐和健康向上的品格。</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2.课程名称：中国传统手工技艺 （学时：36）</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知识、能力、素质要求：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本课程要求学生了解什么是中国的非物质文化遗产，理解这些技艺成为非遗的理由，认识到传统技艺的珍贵意义，理解中国的非遗是世界非物质文化遗产的一部分，非遗的传承与保护是保持人类文化多样性的重要措施。中国非遗的传承与保护是中国优秀文化传承与保护的一部分，是在全球化的今天及未来中保持中国文化独特性的重要环节。</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课程要求学生大致认知中国传统手工技艺的种类，能深入思考技艺当中是文化内涵。对于某些更有可能在服装与服饰专业运用拓展设计的传统手工技艺能在包括材质， 色彩搭配、纹样等等比较全面的认知基掌握基本工艺技能。具有动手实践能力和创新精神，把传承与创新的设计理念运用到今后的设计当中。</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val="zh-CN" w:eastAsia="zh-CN"/>
        </w:rPr>
        <w:t>知识目标：了解非物质文化遗产，认识中国的非物质文化遗产有哪些，传统手工技艺与于非遗的关系。在服装与服饰设计中有哪些非遗技艺可以运用与拓展。了解传统手工技艺的材质、色彩、纹样的艺术特征。了解某些技艺的基本技法。</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能力目标：。能理解传统手工艺中不同技法、不同纹样、不同风格艺术的审美特征、传统艺术思想，及民族文化内涵，并对某些具体的工艺特征进行探讨，区分，比较及评价，能使用传统手工技艺中的色彩与纹样图形，及主要技艺进行深入探讨及创新设计。增强传统与现代设计美学之间进行联系的能力素养，为非遗在现代艺术设计中发展运用打下坚实文化及技艺的基础。</w:t>
      </w:r>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情感目标：通过学习，增长学生见识，激发学生对非遗技艺传承与发展的兴趣。在学习过程中逐渐深入理解我国优秀工艺美术文化，形成爱国意识和国际视野。对传统技艺保持积极的学习态度。并引导他们逐渐将兴趣转化为时尚创新的学习动机，形成传承与创新的学习理念。</w:t>
      </w:r>
    </w:p>
    <w:p>
      <w:pPr>
        <w:spacing w:line="460" w:lineRule="exact"/>
        <w:ind w:firstLine="562" w:firstLineChars="200"/>
        <w:rPr>
          <w:rFonts w:hint="eastAsia" w:ascii="仿宋_GB2312" w:hAnsi="Times New Roman" w:eastAsia="仿宋_GB2312" w:cs="Times New Roman"/>
          <w:b/>
          <w:bCs/>
          <w:kern w:val="2"/>
          <w:sz w:val="28"/>
          <w:szCs w:val="28"/>
          <w:lang w:val="zh-CN" w:eastAsia="zh-CN" w:bidi="ar-SA"/>
        </w:rPr>
      </w:pPr>
      <w:r>
        <w:rPr>
          <w:rFonts w:hint="eastAsia" w:ascii="仿宋_GB2312" w:hAnsi="Times New Roman" w:eastAsia="仿宋_GB2312" w:cs="Times New Roman"/>
          <w:b/>
          <w:bCs/>
          <w:kern w:val="2"/>
          <w:sz w:val="28"/>
          <w:szCs w:val="28"/>
          <w:lang w:val="zh-CN" w:eastAsia="zh-CN" w:bidi="ar-SA"/>
        </w:rPr>
        <w:t>九、教学进程总体安排</w:t>
      </w:r>
      <w:bookmarkEnd w:id="47"/>
      <w:bookmarkEnd w:id="48"/>
      <w:bookmarkEnd w:id="49"/>
      <w:bookmarkEnd w:id="50"/>
    </w:p>
    <w:p>
      <w:pPr>
        <w:spacing w:line="460" w:lineRule="exact"/>
        <w:ind w:firstLine="560" w:firstLineChars="200"/>
        <w:rPr>
          <w:rFonts w:hint="eastAsia" w:ascii="宋体" w:hAnsi="宋体" w:eastAsia="宋体" w:cs="宋体"/>
          <w:b w:val="0"/>
          <w:bCs w:val="0"/>
          <w:sz w:val="28"/>
          <w:szCs w:val="28"/>
          <w:lang w:val="zh-CN" w:eastAsia="zh-CN"/>
        </w:rPr>
      </w:pPr>
      <w:r>
        <w:rPr>
          <w:rFonts w:hint="eastAsia" w:ascii="宋体" w:hAnsi="宋体" w:eastAsia="宋体" w:cs="宋体"/>
          <w:b w:val="0"/>
          <w:bCs w:val="0"/>
          <w:sz w:val="28"/>
          <w:szCs w:val="28"/>
          <w:lang w:val="en-US" w:eastAsia="zh-CN"/>
        </w:rPr>
        <w:t>中职阶段教学时间安排</w:t>
      </w:r>
      <w:bookmarkStart w:id="53" w:name="_Toc2513"/>
      <w:bookmarkStart w:id="54" w:name="_Toc30508"/>
      <w:bookmarkStart w:id="55" w:name="_Toc15224"/>
      <w:bookmarkStart w:id="56" w:name="_Toc20792"/>
      <w:bookmarkStart w:id="57" w:name="_Toc32414"/>
      <w:r>
        <w:rPr>
          <w:rFonts w:hint="eastAsia" w:ascii="宋体" w:hAnsi="宋体" w:eastAsia="宋体" w:cs="宋体"/>
          <w:b w:val="0"/>
          <w:bCs w:val="0"/>
          <w:sz w:val="28"/>
          <w:szCs w:val="28"/>
          <w:lang w:val="zh-CN" w:eastAsia="zh-CN"/>
        </w:rPr>
        <w:t>基本要求</w:t>
      </w:r>
      <w:bookmarkEnd w:id="53"/>
      <w:bookmarkEnd w:id="54"/>
      <w:bookmarkEnd w:id="55"/>
      <w:bookmarkEnd w:id="56"/>
      <w:bookmarkEnd w:id="57"/>
      <w:r>
        <w:rPr>
          <w:rFonts w:hint="eastAsia" w:ascii="宋体" w:hAnsi="宋体" w:eastAsia="宋体" w:cs="宋体"/>
          <w:b w:val="0"/>
          <w:bCs w:val="0"/>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1.每学年为52周，其中教学时间40周（含复习考试），累计假期12周，周学时为28学时，岗位实习按每周30小时（1小时折合1学时）安排，3年总学时数为3000-3300学时。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2.一般18学时为1学分，3年制总学分不得少于170。军训、社会实践、入学教育、毕业教育等活动以1周为1学分，共5学分。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3.公共基础课学时约占总学时1/3，允许根据行业人才培养的实际需要在规定的范围内适当调整，但必须保证学生修完公共基础课的必修内容和学时。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4.专业课程学时一般占总学时的2/3，在确保学生实习总量的前提下，可根据实际需要集中或分阶段安排实习时间，行业企业职业认知应安排在第一学年。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5.课程设置中应设选修课，专业选修课程的学时数占总学时的比例应不少于10%。</w:t>
      </w:r>
    </w:p>
    <w:p>
      <w:pPr>
        <w:pStyle w:val="2"/>
        <w:rPr>
          <w:rFonts w:hint="eastAsia"/>
          <w:lang w:val="zh-CN" w:eastAsia="zh-CN"/>
        </w:rPr>
      </w:pPr>
    </w:p>
    <w:p>
      <w:pPr>
        <w:pStyle w:val="4"/>
        <w:numPr>
          <w:ilvl w:val="0"/>
          <w:numId w:val="7"/>
        </w:numPr>
        <w:spacing w:before="93" w:after="93"/>
        <w:ind w:firstLine="561"/>
      </w:pPr>
      <w:bookmarkStart w:id="58" w:name="_Toc17619"/>
      <w:bookmarkStart w:id="59" w:name="_Toc10553"/>
      <w:bookmarkStart w:id="60" w:name="_Toc26823"/>
      <w:bookmarkStart w:id="61" w:name="_Toc926"/>
      <w:bookmarkStart w:id="62" w:name="_Toc2152"/>
      <w:r>
        <w:rPr>
          <w:rFonts w:hint="eastAsia"/>
        </w:rPr>
        <w:t>教学进程总体安排表</w:t>
      </w:r>
      <w:bookmarkEnd w:id="58"/>
      <w:bookmarkEnd w:id="59"/>
      <w:bookmarkEnd w:id="60"/>
      <w:bookmarkEnd w:id="61"/>
      <w:bookmarkEnd w:id="62"/>
    </w:p>
    <w:tbl>
      <w:tblPr>
        <w:tblStyle w:val="21"/>
        <w:tblW w:w="10080" w:type="dxa"/>
        <w:jc w:val="center"/>
        <w:tblLayout w:type="autofit"/>
        <w:tblCellMar>
          <w:top w:w="0" w:type="dxa"/>
          <w:left w:w="108" w:type="dxa"/>
          <w:bottom w:w="0" w:type="dxa"/>
          <w:right w:w="108" w:type="dxa"/>
        </w:tblCellMar>
      </w:tblPr>
      <w:tblGrid>
        <w:gridCol w:w="616"/>
        <w:gridCol w:w="633"/>
        <w:gridCol w:w="748"/>
        <w:gridCol w:w="2500"/>
        <w:gridCol w:w="613"/>
        <w:gridCol w:w="848"/>
        <w:gridCol w:w="687"/>
        <w:gridCol w:w="687"/>
        <w:gridCol w:w="687"/>
        <w:gridCol w:w="687"/>
        <w:gridCol w:w="687"/>
        <w:gridCol w:w="687"/>
      </w:tblGrid>
      <w:tr>
        <w:tblPrEx>
          <w:tblCellMar>
            <w:top w:w="0" w:type="dxa"/>
            <w:left w:w="108" w:type="dxa"/>
            <w:bottom w:w="0" w:type="dxa"/>
            <w:right w:w="108" w:type="dxa"/>
          </w:tblCellMar>
        </w:tblPrEx>
        <w:trPr>
          <w:trHeight w:val="363" w:hRule="atLeast"/>
          <w:tblHeader/>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类别</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课程名称</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学分</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总学时</w:t>
            </w:r>
          </w:p>
        </w:tc>
        <w:tc>
          <w:tcPr>
            <w:tcW w:w="41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学期周数与周学时</w:t>
            </w:r>
          </w:p>
        </w:tc>
      </w:tr>
      <w:tr>
        <w:tblPrEx>
          <w:tblCellMar>
            <w:top w:w="0" w:type="dxa"/>
            <w:left w:w="108" w:type="dxa"/>
            <w:bottom w:w="0" w:type="dxa"/>
            <w:right w:w="108" w:type="dxa"/>
          </w:tblCellMar>
        </w:tblPrEx>
        <w:trPr>
          <w:trHeight w:val="363" w:hRule="atLeast"/>
          <w:tblHeader/>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一</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二</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四</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五</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六</w:t>
            </w:r>
          </w:p>
        </w:tc>
      </w:tr>
      <w:tr>
        <w:tblPrEx>
          <w:tblCellMar>
            <w:top w:w="0" w:type="dxa"/>
            <w:left w:w="108" w:type="dxa"/>
            <w:bottom w:w="0" w:type="dxa"/>
            <w:right w:w="108" w:type="dxa"/>
          </w:tblCellMar>
        </w:tblPrEx>
        <w:trPr>
          <w:trHeight w:val="363" w:hRule="atLeast"/>
          <w:tblHeader/>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 w:val="20"/>
                <w:szCs w:val="20"/>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18周</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公共基础课</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（必修）</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军训及入学教育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Style w:val="28"/>
                <w:rFonts w:hint="default"/>
                <w:lang w:bidi="ar"/>
              </w:rPr>
              <w:t>1</w:t>
            </w:r>
            <w:r>
              <w:rPr>
                <w:rStyle w:val="29"/>
                <w:rFonts w:hint="default"/>
                <w:lang w:bidi="ar"/>
              </w:rPr>
              <w:t>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劳动与行为习惯养成教育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习近平新时代读本</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中国特色社会主义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心理健康与职业生涯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哲学与人生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职业道德与法治</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信息技术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历史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公共艺术（音乐）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公共艺术（美术）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体育与健康</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语文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英语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40.7%</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1272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公共选修课</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（二选一）</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中华传统文化</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物理（拓展模块）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0.6%</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r>
      <w:tr>
        <w:tblPrEx>
          <w:tblCellMar>
            <w:top w:w="0" w:type="dxa"/>
            <w:left w:w="108" w:type="dxa"/>
            <w:bottom w:w="0" w:type="dxa"/>
            <w:right w:w="108" w:type="dxa"/>
          </w:tblCellMar>
        </w:tblPrEx>
        <w:trPr>
          <w:trHeight w:val="363"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专业（技能）课程</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专业群平台课</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美术基础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艺术鉴赏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sz w:val="21"/>
                <w:szCs w:val="21"/>
                <w:u w:val="none"/>
                <w:lang w:val="en-US" w:eastAsia="zh-CN"/>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宋体"/>
                <w:w w:val="90"/>
                <w:kern w:val="0"/>
                <w:sz w:val="21"/>
                <w:szCs w:val="21"/>
                <w:lang w:val="en-US" w:eastAsia="zh-CN" w:bidi="ar-SA"/>
              </w:rPr>
            </w:pPr>
            <w:r>
              <w:rPr>
                <w:rFonts w:hint="eastAsia" w:ascii="仿宋_GB2312" w:hAnsi="宋体" w:eastAsia="仿宋_GB2312" w:cs="宋体"/>
                <w:w w:val="90"/>
                <w:kern w:val="0"/>
                <w:sz w:val="21"/>
                <w:szCs w:val="21"/>
                <w:lang w:val="en-US" w:eastAsia="zh-CN" w:bidi="ar-SA"/>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图形图像基础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影像技术基础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宋体"/>
                <w:w w:val="90"/>
                <w:kern w:val="0"/>
                <w:sz w:val="21"/>
                <w:szCs w:val="21"/>
                <w:lang w:val="en-US" w:eastAsia="zh-CN" w:bidi="ar-SA"/>
              </w:rPr>
            </w:pPr>
            <w:r>
              <w:rPr>
                <w:rFonts w:hint="eastAsia" w:ascii="仿宋_GB2312" w:hAnsi="宋体" w:eastAsia="仿宋_GB2312" w:cs="宋体"/>
                <w:w w:val="90"/>
                <w:kern w:val="0"/>
                <w:sz w:val="21"/>
                <w:szCs w:val="21"/>
                <w:lang w:val="en-US" w:eastAsia="zh-CN" w:bidi="ar-SA"/>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sz w:val="21"/>
                <w:szCs w:val="21"/>
                <w:u w:val="none"/>
                <w:lang w:val="en-US" w:eastAsia="zh-CN"/>
              </w:rPr>
              <w:t>6</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sz w:val="21"/>
                <w:szCs w:val="21"/>
                <w:u w:val="none"/>
                <w:lang w:val="en-US" w:eastAsia="zh-CN"/>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1</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专业基础课程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服装工艺基础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服装结构设计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252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专业核心课程</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lang w:val="en-US" w:eastAsia="zh-CN" w:bidi="ar"/>
              </w:rPr>
              <w:t>服装材料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_GB2312" w:hAnsi="宋体" w:eastAsia="仿宋_GB2312" w:cs="宋体"/>
                <w:color w:val="auto"/>
                <w:w w:val="90"/>
                <w:kern w:val="0"/>
                <w:szCs w:val="21"/>
                <w:lang w:val="en-US" w:eastAsia="zh-CN"/>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23</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lang w:val="en-US" w:eastAsia="zh-CN" w:bidi="ar"/>
              </w:rPr>
              <w:t>服装设计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126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_GB2312" w:hAnsi="宋体" w:eastAsia="仿宋_GB2312" w:cs="宋体"/>
                <w:color w:val="auto"/>
                <w:w w:val="90"/>
                <w:kern w:val="0"/>
                <w:szCs w:val="21"/>
                <w:lang w:val="en-US" w:eastAsia="zh-CN"/>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24</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lang w:val="en-US" w:eastAsia="zh-CN" w:bidi="ar"/>
              </w:rPr>
              <w:t>服装电脑辅助设计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lang w:val="en-US" w:eastAsia="zh-CN" w:bidi="ar"/>
              </w:rPr>
              <w:t>立体造型设计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26</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lang w:val="en-US" w:eastAsia="zh-CN" w:bidi="ar"/>
              </w:rPr>
              <w:t>成衣制作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144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27</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lang w:val="en-US" w:eastAsia="zh-CN" w:bidi="ar"/>
              </w:rPr>
              <w:t>手工布艺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72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8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28</w:t>
            </w:r>
          </w:p>
        </w:tc>
        <w:tc>
          <w:tcPr>
            <w:tcW w:w="25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lang w:val="en-US" w:eastAsia="zh-CN" w:bidi="ar"/>
              </w:rPr>
              <w:t>形像设计</w:t>
            </w:r>
          </w:p>
        </w:tc>
        <w:tc>
          <w:tcPr>
            <w:tcW w:w="6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8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72</w:t>
            </w: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35"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w:t>
            </w:r>
          </w:p>
        </w:tc>
        <w:tc>
          <w:tcPr>
            <w:tcW w:w="25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32"/>
                <w:rFonts w:hint="eastAsia" w:hAnsi="宋体"/>
                <w:lang w:val="en-US" w:eastAsia="zh-CN" w:bidi="ar"/>
              </w:rPr>
            </w:pPr>
            <w:r>
              <w:rPr>
                <w:rStyle w:val="32"/>
                <w:rFonts w:hint="eastAsia" w:hAnsi="宋体"/>
                <w:lang w:val="en-US" w:eastAsia="zh-CN" w:bidi="ar"/>
              </w:rPr>
              <w:t>服装CAD版型设计与制作</w:t>
            </w:r>
          </w:p>
        </w:tc>
        <w:tc>
          <w:tcPr>
            <w:tcW w:w="6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6</w:t>
            </w:r>
          </w:p>
        </w:tc>
        <w:tc>
          <w:tcPr>
            <w:tcW w:w="8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宋体"/>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108</w:t>
            </w: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 w:hAnsi="仿宋" w:eastAsia="仿宋" w:cs="仿宋"/>
                <w:i w:val="0"/>
                <w:iCs w:val="0"/>
                <w:color w:val="auto"/>
                <w:sz w:val="21"/>
                <w:szCs w:val="21"/>
                <w:u w:val="none"/>
                <w:lang w:val="en-US" w:eastAsia="zh-CN"/>
              </w:rPr>
              <w:t>4</w:t>
            </w: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_GB2312" w:hAnsi="宋体" w:eastAsia="仿宋_GB2312" w:cs="宋体"/>
                <w:color w:val="auto"/>
                <w:w w:val="90"/>
                <w:kern w:val="0"/>
                <w:szCs w:val="21"/>
                <w:lang w:val="en-US" w:eastAsia="zh-CN"/>
              </w:rPr>
              <w:t>2</w:t>
            </w: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19.6%</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default"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36</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default"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612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 w:hAnsi="仿宋" w:eastAsia="仿宋" w:cs="仿宋"/>
                <w:i w:val="0"/>
                <w:iCs w:val="0"/>
                <w:color w:val="auto"/>
                <w:sz w:val="21"/>
                <w:szCs w:val="21"/>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 w:hAnsi="仿宋" w:eastAsia="仿宋" w:cs="仿宋"/>
                <w:i w:val="0"/>
                <w:iCs w:val="0"/>
                <w:color w:val="auto"/>
                <w:sz w:val="21"/>
                <w:szCs w:val="21"/>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default" w:ascii="仿宋_GB2312" w:hAnsi="宋体" w:eastAsia="仿宋_GB2312" w:cs="宋体"/>
                <w:color w:val="auto"/>
                <w:w w:val="90"/>
                <w:kern w:val="0"/>
                <w:sz w:val="21"/>
                <w:szCs w:val="21"/>
                <w:lang w:val="en-US" w:eastAsia="zh-CN" w:bidi="ar-SA"/>
              </w:rPr>
            </w:pPr>
            <w:r>
              <w:rPr>
                <w:rFonts w:hint="eastAsia" w:ascii="仿宋" w:hAnsi="仿宋" w:eastAsia="仿宋" w:cs="仿宋"/>
                <w:i w:val="0"/>
                <w:iCs w:val="0"/>
                <w:color w:val="auto"/>
                <w:sz w:val="21"/>
                <w:szCs w:val="21"/>
                <w:u w:val="none"/>
                <w:lang w:val="en-US" w:eastAsia="zh-CN"/>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default" w:ascii="仿宋_GB2312" w:hAnsi="宋体" w:eastAsia="仿宋_GB2312" w:cs="宋体"/>
                <w:color w:val="auto"/>
                <w:w w:val="90"/>
                <w:kern w:val="0"/>
                <w:sz w:val="21"/>
                <w:szCs w:val="21"/>
                <w:lang w:val="en-US" w:eastAsia="zh-CN" w:bidi="ar-SA"/>
              </w:rPr>
            </w:pPr>
            <w:r>
              <w:rPr>
                <w:rFonts w:hint="eastAsia" w:ascii="仿宋" w:hAnsi="仿宋" w:eastAsia="仿宋" w:cs="仿宋"/>
                <w:i w:val="0"/>
                <w:iCs w:val="0"/>
                <w:color w:val="auto"/>
                <w:sz w:val="21"/>
                <w:szCs w:val="21"/>
                <w:u w:val="none"/>
                <w:lang w:val="en-US" w:eastAsia="zh-CN"/>
              </w:rPr>
              <w:t>12</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14</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专业拓展课程</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（选修）</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仿宋_GB2312" w:hAnsi="宋体" w:eastAsia="仿宋_GB2312" w:cs="仿宋_GB2312"/>
                <w:i w:val="0"/>
                <w:iCs w:val="0"/>
                <w:color w:val="auto"/>
                <w:sz w:val="21"/>
                <w:szCs w:val="21"/>
                <w:u w:val="none"/>
                <w:lang w:eastAsia="zh-CN"/>
              </w:rPr>
              <w:t>文案设计与撰写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54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_GB2312" w:hAnsi="宋体" w:eastAsia="仿宋_GB2312" w:cs="宋体"/>
                <w:color w:val="auto"/>
                <w:w w:val="90"/>
                <w:kern w:val="0"/>
                <w:szCs w:val="21"/>
                <w:lang w:val="en-US" w:eastAsia="zh-CN"/>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31</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color w:val="auto"/>
                <w:lang w:val="en-US" w:eastAsia="zh-CN" w:bidi="ar"/>
              </w:rPr>
              <w:t>营销策划与品牌推广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sz w:val="21"/>
                <w:szCs w:val="21"/>
                <w:u w:val="none"/>
                <w:lang w:val="en-US" w:eastAsia="zh-CN"/>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32</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32"/>
                <w:rFonts w:hint="eastAsia" w:hAnsi="宋体"/>
                <w:color w:val="auto"/>
                <w:lang w:val="en-US" w:eastAsia="zh-CN" w:bidi="ar"/>
              </w:rPr>
              <w:t>沟通礼仪与技巧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108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 w:hAnsi="仿宋" w:eastAsia="仿宋" w:cs="仿宋"/>
                <w:i w:val="0"/>
                <w:iCs w:val="0"/>
                <w:color w:val="auto"/>
                <w:sz w:val="21"/>
                <w:szCs w:val="21"/>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9.8%</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default"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default" w:ascii="仿宋_GB2312" w:hAnsi="宋体" w:eastAsia="仿宋_GB2312" w:cs="宋体"/>
                <w:color w:val="auto"/>
                <w:kern w:val="0"/>
                <w:sz w:val="21"/>
                <w:szCs w:val="21"/>
                <w:lang w:val="en-US" w:eastAsia="zh-CN" w:bidi="ar-SA"/>
              </w:rPr>
            </w:pPr>
            <w:r>
              <w:rPr>
                <w:rFonts w:hint="eastAsia" w:ascii="仿宋" w:hAnsi="仿宋" w:eastAsia="仿宋" w:cs="仿宋"/>
                <w:i w:val="0"/>
                <w:iCs w:val="0"/>
                <w:color w:val="auto"/>
                <w:kern w:val="0"/>
                <w:sz w:val="21"/>
                <w:szCs w:val="21"/>
                <w:u w:val="none"/>
                <w:lang w:val="en-US" w:eastAsia="zh-CN" w:bidi="ar"/>
              </w:rPr>
              <w:t>270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default" w:ascii="仿宋_GB2312" w:hAnsi="宋体" w:eastAsia="仿宋_GB2312" w:cs="宋体"/>
                <w:color w:val="auto"/>
                <w:w w:val="90"/>
                <w:kern w:val="0"/>
                <w:sz w:val="21"/>
                <w:szCs w:val="21"/>
                <w:lang w:val="en-US" w:eastAsia="zh-CN" w:bidi="ar-SA"/>
              </w:rPr>
            </w:pPr>
            <w:r>
              <w:rPr>
                <w:rFonts w:hint="eastAsia" w:ascii="仿宋_GB2312" w:hAnsi="宋体" w:eastAsia="仿宋_GB2312" w:cs="宋体"/>
                <w:color w:val="auto"/>
                <w:w w:val="90"/>
                <w:kern w:val="0"/>
                <w:sz w:val="21"/>
                <w:szCs w:val="21"/>
                <w:lang w:val="en-US" w:eastAsia="zh-CN" w:bidi="ar-SA"/>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default" w:ascii="仿宋_GB2312" w:hAnsi="宋体" w:eastAsia="仿宋_GB2312" w:cs="宋体"/>
                <w:color w:val="auto"/>
                <w:w w:val="90"/>
                <w:kern w:val="0"/>
                <w:sz w:val="21"/>
                <w:szCs w:val="21"/>
                <w:lang w:val="en-US" w:eastAsia="zh-CN" w:bidi="ar-SA"/>
              </w:rPr>
            </w:pPr>
            <w:r>
              <w:rPr>
                <w:rFonts w:hint="eastAsia" w:ascii="仿宋_GB2312" w:hAnsi="宋体" w:eastAsia="仿宋_GB2312" w:cs="宋体"/>
                <w:color w:val="auto"/>
                <w:w w:val="90"/>
                <w:kern w:val="0"/>
                <w:sz w:val="21"/>
                <w:szCs w:val="21"/>
                <w:lang w:val="en-US" w:eastAsia="zh-CN" w:bidi="ar-SA"/>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default" w:ascii="仿宋_GB2312" w:hAnsi="宋体" w:eastAsia="仿宋_GB2312" w:cs="宋体"/>
                <w:color w:val="auto"/>
                <w:w w:val="90"/>
                <w:kern w:val="0"/>
                <w:sz w:val="21"/>
                <w:szCs w:val="21"/>
                <w:lang w:val="en-US" w:eastAsia="zh-CN" w:bidi="ar-SA"/>
              </w:rPr>
            </w:pPr>
            <w:r>
              <w:rPr>
                <w:rFonts w:hint="eastAsia" w:ascii="仿宋_GB2312" w:hAnsi="宋体" w:eastAsia="仿宋_GB2312" w:cs="宋体"/>
                <w:color w:val="auto"/>
                <w:w w:val="90"/>
                <w:kern w:val="0"/>
                <w:sz w:val="21"/>
                <w:szCs w:val="21"/>
                <w:lang w:val="en-US" w:eastAsia="zh-CN" w:bidi="ar-SA"/>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仿宋_GB2312" w:hAnsi="宋体" w:eastAsia="仿宋_GB2312" w:cs="宋体"/>
                <w:color w:val="auto"/>
                <w:w w:val="90"/>
                <w:kern w:val="0"/>
                <w:sz w:val="21"/>
                <w:szCs w:val="21"/>
                <w:lang w:val="en-US" w:eastAsia="zh-CN" w:bidi="ar-SA"/>
              </w:rPr>
            </w:pPr>
            <w:r>
              <w:rPr>
                <w:rFonts w:hint="eastAsia" w:ascii="仿宋" w:hAnsi="仿宋" w:eastAsia="仿宋" w:cs="仿宋"/>
                <w:i w:val="0"/>
                <w:iCs w:val="0"/>
                <w:color w:val="auto"/>
                <w:sz w:val="21"/>
                <w:szCs w:val="21"/>
                <w:u w:val="none"/>
                <w:lang w:val="en-US" w:eastAsia="zh-CN"/>
              </w:rPr>
              <w:t>5</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仿宋_GB2312" w:hAnsi="宋体" w:eastAsia="仿宋_GB2312" w:cs="宋体"/>
                <w:w w:val="9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63" w:hRule="atLeast"/>
          <w:jc w:val="center"/>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实践课</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3</w:t>
            </w:r>
            <w:r>
              <w:rPr>
                <w:rFonts w:hint="eastAsia" w:ascii="宋体" w:hAnsi="宋体" w:eastAsia="宋体" w:cs="宋体"/>
                <w:color w:val="000000"/>
                <w:kern w:val="0"/>
                <w:sz w:val="20"/>
                <w:szCs w:val="20"/>
                <w:lang w:val="en-US" w:eastAsia="zh-CN"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教学实习（职业体验）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36</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34</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岗位实习</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540</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bidi="ar"/>
              </w:rPr>
              <w:t>30</w:t>
            </w:r>
          </w:p>
        </w:tc>
      </w:tr>
      <w:tr>
        <w:tblPrEx>
          <w:tblCellMar>
            <w:top w:w="0" w:type="dxa"/>
            <w:left w:w="108" w:type="dxa"/>
            <w:bottom w:w="0" w:type="dxa"/>
            <w:right w:w="108" w:type="dxa"/>
          </w:tblCellMar>
        </w:tblPrEx>
        <w:trPr>
          <w:trHeight w:val="363" w:hRule="atLeast"/>
          <w:jc w:val="center"/>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7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50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18.4%</w:t>
            </w:r>
          </w:p>
        </w:tc>
        <w:tc>
          <w:tcPr>
            <w:tcW w:w="613"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32</w:t>
            </w:r>
          </w:p>
        </w:tc>
        <w:tc>
          <w:tcPr>
            <w:tcW w:w="848"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576</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c>
          <w:tcPr>
            <w:tcW w:w="687"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32</w:t>
            </w:r>
          </w:p>
        </w:tc>
      </w:tr>
      <w:tr>
        <w:tblPrEx>
          <w:tblCellMar>
            <w:top w:w="0" w:type="dxa"/>
            <w:left w:w="108" w:type="dxa"/>
            <w:bottom w:w="0" w:type="dxa"/>
            <w:right w:w="108" w:type="dxa"/>
          </w:tblCellMar>
        </w:tblPrEx>
        <w:trPr>
          <w:trHeight w:val="363" w:hRule="atLeast"/>
          <w:jc w:val="center"/>
        </w:trPr>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17</w:t>
            </w:r>
            <w:r>
              <w:rPr>
                <w:rFonts w:hint="eastAsia" w:ascii="宋体" w:hAnsi="宋体" w:eastAsia="宋体" w:cs="宋体"/>
                <w:color w:val="000000"/>
                <w:kern w:val="0"/>
                <w:sz w:val="20"/>
                <w:szCs w:val="20"/>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3126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32</w:t>
            </w:r>
          </w:p>
        </w:tc>
      </w:tr>
    </w:tbl>
    <w:p>
      <w:pPr>
        <w:keepNext/>
        <w:keepLines/>
        <w:numPr>
          <w:ilvl w:val="0"/>
          <w:numId w:val="0"/>
        </w:numPr>
        <w:spacing w:before="93" w:beforeLines="30" w:after="93" w:afterLines="30" w:line="460" w:lineRule="exact"/>
        <w:jc w:val="both"/>
        <w:outlineLvl w:val="0"/>
        <w:rPr>
          <w:rFonts w:hint="eastAsia" w:eastAsia="黑体"/>
          <w:b w:val="0"/>
          <w:bCs/>
          <w:kern w:val="44"/>
          <w:sz w:val="30"/>
          <w:lang w:val="en-US" w:eastAsia="zh-CN"/>
        </w:rPr>
      </w:pPr>
      <w:bookmarkStart w:id="63" w:name="_Toc27593"/>
      <w:bookmarkStart w:id="64" w:name="_Toc11852"/>
      <w:bookmarkStart w:id="65" w:name="_Toc32280"/>
      <w:bookmarkStart w:id="66" w:name="_Toc19129"/>
      <w:bookmarkStart w:id="67" w:name="_Toc21929"/>
    </w:p>
    <w:p>
      <w:pPr>
        <w:keepNext/>
        <w:keepLines/>
        <w:numPr>
          <w:ilvl w:val="0"/>
          <w:numId w:val="0"/>
        </w:numPr>
        <w:spacing w:before="93" w:beforeLines="30" w:after="93" w:afterLines="30" w:line="460" w:lineRule="exact"/>
        <w:jc w:val="center"/>
        <w:outlineLvl w:val="0"/>
        <w:rPr>
          <w:rFonts w:hint="eastAsia" w:eastAsia="黑体"/>
          <w:b w:val="0"/>
          <w:bCs/>
          <w:kern w:val="44"/>
          <w:sz w:val="30"/>
          <w:lang w:val="en-US" w:eastAsia="zh-CN"/>
        </w:rPr>
      </w:pPr>
    </w:p>
    <w:p>
      <w:pPr>
        <w:keepNext/>
        <w:keepLines/>
        <w:numPr>
          <w:ilvl w:val="0"/>
          <w:numId w:val="0"/>
        </w:numPr>
        <w:spacing w:before="93" w:beforeLines="30" w:after="93" w:afterLines="30" w:line="460" w:lineRule="exact"/>
        <w:jc w:val="center"/>
        <w:outlineLvl w:val="0"/>
        <w:rPr>
          <w:rFonts w:hint="eastAsia" w:eastAsia="黑体"/>
          <w:b w:val="0"/>
          <w:bCs/>
          <w:kern w:val="44"/>
          <w:sz w:val="30"/>
          <w:lang w:val="en-US" w:eastAsia="zh-CN"/>
        </w:rPr>
      </w:pPr>
    </w:p>
    <w:p>
      <w:pPr>
        <w:keepNext/>
        <w:keepLines/>
        <w:numPr>
          <w:ilvl w:val="0"/>
          <w:numId w:val="0"/>
        </w:numPr>
        <w:spacing w:before="93" w:beforeLines="30" w:after="93" w:afterLines="30" w:line="460" w:lineRule="exact"/>
        <w:jc w:val="center"/>
        <w:outlineLvl w:val="0"/>
        <w:rPr>
          <w:rFonts w:hint="eastAsia" w:eastAsia="黑体"/>
          <w:b w:val="0"/>
          <w:bCs/>
          <w:kern w:val="44"/>
          <w:sz w:val="30"/>
        </w:rPr>
      </w:pPr>
      <w:r>
        <w:rPr>
          <w:rFonts w:hint="eastAsia" w:eastAsia="黑体"/>
          <w:b w:val="0"/>
          <w:bCs/>
          <w:kern w:val="44"/>
          <w:sz w:val="30"/>
          <w:lang w:val="en-US" w:eastAsia="zh-CN"/>
        </w:rPr>
        <w:t>高职阶段教学时间安排</w:t>
      </w:r>
    </w:p>
    <w:p>
      <w:pPr>
        <w:widowControl/>
        <w:spacing w:line="400" w:lineRule="exact"/>
        <w:jc w:val="both"/>
        <w:rPr>
          <w:rFonts w:hint="eastAsia" w:ascii="仿宋_GB2312" w:hAnsi="宋体" w:eastAsia="仿宋_GB2312" w:cs="宋体"/>
          <w:b/>
          <w:bCs/>
          <w:kern w:val="0"/>
          <w:szCs w:val="21"/>
        </w:rPr>
      </w:pPr>
      <w:r>
        <w:rPr>
          <w:rFonts w:hint="eastAsia" w:ascii="仿宋_GB2312" w:hAnsi="宋体" w:eastAsia="仿宋_GB2312" w:cs="宋体"/>
          <w:b/>
          <w:bCs/>
          <w:kern w:val="0"/>
          <w:szCs w:val="21"/>
        </w:rPr>
        <w:t>教学周数分配表</w:t>
      </w:r>
    </w:p>
    <w:tbl>
      <w:tblPr>
        <w:tblStyle w:val="21"/>
        <w:tblW w:w="4999" w:type="pct"/>
        <w:tblInd w:w="0" w:type="dxa"/>
        <w:tblLayout w:type="autofit"/>
        <w:tblCellMar>
          <w:top w:w="0" w:type="dxa"/>
          <w:left w:w="108" w:type="dxa"/>
          <w:bottom w:w="0" w:type="dxa"/>
          <w:right w:w="108" w:type="dxa"/>
        </w:tblCellMar>
      </w:tblPr>
      <w:tblGrid>
        <w:gridCol w:w="836"/>
        <w:gridCol w:w="751"/>
        <w:gridCol w:w="1399"/>
        <w:gridCol w:w="1498"/>
        <w:gridCol w:w="1343"/>
        <w:gridCol w:w="1343"/>
        <w:gridCol w:w="1350"/>
      </w:tblGrid>
      <w:tr>
        <w:tblPrEx>
          <w:tblCellMar>
            <w:top w:w="0" w:type="dxa"/>
            <w:left w:w="108" w:type="dxa"/>
            <w:bottom w:w="0" w:type="dxa"/>
            <w:right w:w="108" w:type="dxa"/>
          </w:tblCellMar>
        </w:tblPrEx>
        <w:trPr>
          <w:trHeight w:val="375" w:hRule="atLeast"/>
        </w:trPr>
        <w:tc>
          <w:tcPr>
            <w:tcW w:w="932" w:type="pct"/>
            <w:gridSpan w:val="2"/>
            <w:tcBorders>
              <w:top w:val="single" w:color="000000" w:sz="4" w:space="0"/>
              <w:left w:val="single" w:color="000000" w:sz="4" w:space="0"/>
              <w:bottom w:val="nil"/>
              <w:right w:val="single" w:color="000000" w:sz="4" w:space="0"/>
            </w:tcBorders>
            <w:noWrap w:val="0"/>
            <w:vAlign w:val="center"/>
          </w:tcPr>
          <w:p>
            <w:pPr>
              <w:widowControl/>
              <w:textAlignment w:val="center"/>
              <w:rPr>
                <w:rFonts w:ascii="仿宋_GB2312" w:hAnsi="仿宋_GB2312" w:cs="仿宋_GB2312"/>
                <w:sz w:val="24"/>
              </w:rPr>
            </w:pPr>
            <w:r>
              <w:rPr>
                <w:rFonts w:hint="eastAsia" w:ascii="仿宋_GB2312" w:hAnsi="仿宋_GB2312" w:cs="仿宋_GB2312"/>
                <w:b/>
                <w:sz w:val="24"/>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34925</wp:posOffset>
                      </wp:positionV>
                      <wp:extent cx="904240" cy="401320"/>
                      <wp:effectExtent l="1905" t="4445" r="1905" b="6985"/>
                      <wp:wrapNone/>
                      <wp:docPr id="81" name="直接连接符 81"/>
                      <wp:cNvGraphicFramePr/>
                      <a:graphic xmlns:a="http://schemas.openxmlformats.org/drawingml/2006/main">
                        <a:graphicData uri="http://schemas.microsoft.com/office/word/2010/wordprocessingShape">
                          <wps:wsp>
                            <wps:cNvCnPr/>
                            <wps:spPr>
                              <a:xfrm>
                                <a:off x="0" y="0"/>
                                <a:ext cx="904240" cy="40132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15pt;margin-top:2.75pt;height:31.6pt;width:71.2pt;z-index:251661312;mso-width-relative:page;mso-height-relative:page;" filled="f" stroked="t" coordsize="21600,21600" o:gfxdata="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T2f4bWAAAABwEAAA8AAAAAAAAAAQAgAAAAIgAAAGRycy9kb3ducmV2Lnht&#10;bFBLAQIUABQAAAAIAIdO4kCoKuGn+wEAAOcDAAAOAAAAAAAAAAEAIAAAACUBAABkcnMvZTJvRG9j&#10;LnhtbFBLBQYAAAAABgAGAFkBAACSBQAAAAA=&#10;">
                      <v:fill on="f" focussize="0,0"/>
                      <v:stroke color="#000000" joinstyle="round"/>
                      <v:imagedata o:title=""/>
                      <o:lock v:ext="edit" aspectratio="f"/>
                    </v:line>
                  </w:pict>
                </mc:Fallback>
              </mc:AlternateContent>
            </w:r>
            <w:r>
              <w:rPr>
                <w:rFonts w:hint="eastAsia" w:ascii="仿宋_GB2312" w:hAnsi="仿宋_GB2312" w:cs="仿宋_GB2312"/>
                <w:sz w:val="2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33020</wp:posOffset>
                      </wp:positionV>
                      <wp:extent cx="513080" cy="1355725"/>
                      <wp:effectExtent l="4445" t="1905" r="9525" b="1270"/>
                      <wp:wrapNone/>
                      <wp:docPr id="80" name="直接连接符 80"/>
                      <wp:cNvGraphicFramePr/>
                      <a:graphic xmlns:a="http://schemas.openxmlformats.org/drawingml/2006/main">
                        <a:graphicData uri="http://schemas.microsoft.com/office/word/2010/wordprocessingShape">
                          <wps:wsp>
                            <wps:cNvCnPr/>
                            <wps:spPr>
                              <a:xfrm>
                                <a:off x="910590" y="6598920"/>
                                <a:ext cx="513080" cy="135572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1pt;margin-top:2.6pt;height:106.75pt;width:40.4pt;z-index:251659264;mso-width-relative:page;mso-height-relative:page;" filled="f" stroked="t" coordsize="21600,21600" o:gfxdata="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kl06rWAAAABwEAAA8AAAAAAAAAAQAgAAAAIgAAAGRycy9k&#10;b3ducmV2LnhtbFBLAQIUABQAAAAIAIdO4kDwQ1elBAIAAPMDAAAOAAAAAAAAAAEAIAAAACUBAABk&#10;cnMvZTJvRG9jLnhtbFBLBQYAAAAABgAGAFkBAACbBQAAAAA=&#10;">
                      <v:fill on="f" focussize="0,0"/>
                      <v:stroke color="#000000" joinstyle="round"/>
                      <v:imagedata o:title=""/>
                      <o:lock v:ext="edit" aspectratio="f"/>
                    </v:line>
                  </w:pict>
                </mc:Fallback>
              </mc:AlternateContent>
            </w:r>
            <w:r>
              <w:rPr>
                <w:rFonts w:hint="eastAsia" w:ascii="仿宋_GB2312" w:hAnsi="仿宋_GB2312" w:cs="仿宋_GB2312"/>
                <w:sz w:val="24"/>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-3810</wp:posOffset>
                      </wp:positionV>
                      <wp:extent cx="988060" cy="1335405"/>
                      <wp:effectExtent l="3810" t="2540" r="5080" b="8255"/>
                      <wp:wrapNone/>
                      <wp:docPr id="82" name="直接连接符 82"/>
                      <wp:cNvGraphicFramePr/>
                      <a:graphic xmlns:a="http://schemas.openxmlformats.org/drawingml/2006/main">
                        <a:graphicData uri="http://schemas.microsoft.com/office/word/2010/wordprocessingShape">
                          <wps:wsp>
                            <wps:cNvCnPr/>
                            <wps:spPr>
                              <a:xfrm>
                                <a:off x="0" y="0"/>
                                <a:ext cx="988060" cy="133540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pt;margin-top:-0.3pt;height:105.15pt;width:77.8pt;z-index:251660288;mso-width-relative:page;mso-height-relative:page;" filled="f" stroked="t" coordsize="21600,21600" o:gfxdata="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nPx/fXAAAACAEAAA8AAAAAAAAAAQAgAAAAIgAAAGRycy9kb3ducmV2Lnht&#10;bFBLAQIUABQAAAAIAIdO4kA6ZbG2+gEAAOgDAAAOAAAAAAAAAAEAIAAAACYBAABkcnMvZTJvRG9j&#10;LnhtbFBLBQYAAAAABgAGAFkBAACSBQAAAAA=&#10;">
                      <v:fill on="f" focussize="0,0"/>
                      <v:stroke color="#000000" joinstyle="round"/>
                      <v:imagedata o:title=""/>
                      <o:lock v:ext="edit" aspectratio="f"/>
                    </v:line>
                  </w:pict>
                </mc:Fallback>
              </mc:AlternateContent>
            </w:r>
            <w:r>
              <w:rPr>
                <w:rFonts w:hint="eastAsia" w:ascii="仿宋_GB2312" w:hAnsi="仿宋_GB2312" w:cs="仿宋_GB2312"/>
                <w:kern w:val="0"/>
                <w:sz w:val="24"/>
                <w:lang w:bidi="ar"/>
              </w:rPr>
              <w:t xml:space="preserve">   项</w:t>
            </w:r>
            <w:r>
              <w:rPr>
                <w:rFonts w:hint="eastAsia" w:ascii="仿宋_GB2312" w:hAnsi="宋体" w:eastAsia="仿宋_GB2312" w:cs="宋体"/>
                <w:kern w:val="0"/>
                <w:szCs w:val="21"/>
              </w:rPr>
              <w:t xml:space="preserve">  </w:t>
            </w:r>
            <w:r>
              <w:rPr>
                <w:rFonts w:hint="eastAsia" w:ascii="仿宋_GB2312" w:hAnsi="仿宋_GB2312" w:cs="仿宋_GB2312"/>
                <w:kern w:val="0"/>
                <w:sz w:val="24"/>
                <w:lang w:bidi="ar"/>
              </w:rPr>
              <w:t>目</w:t>
            </w:r>
          </w:p>
        </w:tc>
        <w:tc>
          <w:tcPr>
            <w:tcW w:w="4068" w:type="pct"/>
            <w:gridSpan w:val="5"/>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教学活动</w:t>
            </w:r>
          </w:p>
        </w:tc>
      </w:tr>
      <w:tr>
        <w:tblPrEx>
          <w:tblCellMar>
            <w:top w:w="0" w:type="dxa"/>
            <w:left w:w="108" w:type="dxa"/>
            <w:bottom w:w="0" w:type="dxa"/>
            <w:right w:w="108" w:type="dxa"/>
          </w:tblCellMar>
        </w:tblPrEx>
        <w:trPr>
          <w:trHeight w:val="274" w:hRule="atLeast"/>
        </w:trPr>
        <w:tc>
          <w:tcPr>
            <w:tcW w:w="932" w:type="pct"/>
            <w:gridSpan w:val="2"/>
            <w:tcBorders>
              <w:top w:val="nil"/>
              <w:left w:val="single" w:color="000000" w:sz="4" w:space="0"/>
              <w:bottom w:val="nil"/>
              <w:right w:val="single" w:color="000000" w:sz="4" w:space="0"/>
            </w:tcBorders>
            <w:noWrap w:val="0"/>
            <w:vAlign w:val="center"/>
          </w:tcPr>
          <w:p>
            <w:pPr>
              <w:widowControl/>
              <w:textAlignment w:val="center"/>
              <w:rPr>
                <w:rFonts w:ascii="仿宋_GB2312" w:hAnsi="仿宋_GB2312" w:cs="仿宋_GB2312"/>
                <w:sz w:val="24"/>
              </w:rPr>
            </w:pPr>
            <w:r>
              <w:rPr>
                <w:rFonts w:hint="eastAsia" w:ascii="仿宋_GB2312" w:hAnsi="仿宋_GB2312" w:cs="仿宋_GB2312"/>
                <w:kern w:val="0"/>
                <w:sz w:val="24"/>
                <w:lang w:bidi="ar"/>
              </w:rPr>
              <w:t xml:space="preserve">    周     </w:t>
            </w:r>
          </w:p>
        </w:tc>
        <w:tc>
          <w:tcPr>
            <w:tcW w:w="4068" w:type="pct"/>
            <w:gridSpan w:val="5"/>
            <w:vMerge w:val="continue"/>
            <w:tcBorders>
              <w:top w:val="single" w:color="000000" w:sz="4" w:space="0"/>
              <w:left w:val="single" w:color="000000" w:sz="4" w:space="0"/>
              <w:bottom w:val="nil"/>
              <w:right w:val="single" w:color="000000" w:sz="4" w:space="0"/>
            </w:tcBorders>
            <w:noWrap w:val="0"/>
            <w:vAlign w:val="center"/>
          </w:tcPr>
          <w:p>
            <w:pPr>
              <w:jc w:val="center"/>
              <w:rPr>
                <w:rFonts w:ascii="仿宋_GB2312" w:hAnsi="仿宋_GB2312" w:cs="仿宋_GB2312"/>
                <w:sz w:val="24"/>
              </w:rPr>
            </w:pPr>
          </w:p>
        </w:tc>
      </w:tr>
      <w:tr>
        <w:tblPrEx>
          <w:tblCellMar>
            <w:top w:w="0" w:type="dxa"/>
            <w:left w:w="108" w:type="dxa"/>
            <w:bottom w:w="0" w:type="dxa"/>
            <w:right w:w="108" w:type="dxa"/>
          </w:tblCellMar>
        </w:tblPrEx>
        <w:trPr>
          <w:trHeight w:val="375" w:hRule="atLeast"/>
        </w:trPr>
        <w:tc>
          <w:tcPr>
            <w:tcW w:w="932" w:type="pct"/>
            <w:gridSpan w:val="2"/>
            <w:tcBorders>
              <w:top w:val="nil"/>
              <w:left w:val="single" w:color="000000" w:sz="4" w:space="0"/>
              <w:bottom w:val="nil"/>
              <w:right w:val="single" w:color="000000" w:sz="4" w:space="0"/>
            </w:tcBorders>
            <w:noWrap w:val="0"/>
            <w:vAlign w:val="center"/>
          </w:tcPr>
          <w:p>
            <w:pPr>
              <w:widowControl/>
              <w:textAlignment w:val="center"/>
              <w:rPr>
                <w:rFonts w:ascii="仿宋_GB2312" w:hAnsi="仿宋_GB2312" w:cs="仿宋_GB2312"/>
                <w:sz w:val="24"/>
              </w:rPr>
            </w:pPr>
            <w:r>
              <w:rPr>
                <w:rFonts w:hint="eastAsia" w:ascii="仿宋_GB2312" w:hAnsi="仿宋_GB2312" w:cs="仿宋_GB2312"/>
                <w:sz w:val="24"/>
              </w:rPr>
              <w:t>学学</w:t>
            </w:r>
          </w:p>
        </w:tc>
        <w:tc>
          <w:tcPr>
            <w:tcW w:w="821"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60" w:lineRule="exact"/>
              <w:rPr>
                <w:rFonts w:hint="eastAsia" w:ascii="宋体" w:hAnsi="宋体" w:eastAsia="宋体" w:cs="宋体"/>
                <w:sz w:val="24"/>
                <w:lang w:val="zh-CN" w:eastAsia="zh-CN"/>
              </w:rPr>
            </w:pPr>
            <w:r>
              <w:rPr>
                <w:rFonts w:hint="eastAsia" w:ascii="宋体" w:hAnsi="宋体" w:eastAsia="宋体" w:cs="宋体"/>
                <w:sz w:val="24"/>
                <w:lang w:val="zh-CN" w:eastAsia="zh-CN"/>
              </w:rPr>
              <w:t>军训及入学教育</w:t>
            </w:r>
          </w:p>
        </w:tc>
        <w:tc>
          <w:tcPr>
            <w:tcW w:w="879"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60" w:lineRule="exact"/>
              <w:rPr>
                <w:rFonts w:hint="eastAsia" w:ascii="宋体" w:hAnsi="宋体" w:eastAsia="宋体" w:cs="宋体"/>
                <w:sz w:val="24"/>
                <w:lang w:val="zh-CN" w:eastAsia="zh-CN"/>
              </w:rPr>
            </w:pPr>
            <w:r>
              <w:rPr>
                <w:rFonts w:hint="eastAsia" w:ascii="宋体" w:hAnsi="宋体" w:eastAsia="宋体" w:cs="宋体"/>
                <w:sz w:val="24"/>
                <w:lang w:val="zh-CN" w:eastAsia="zh-CN"/>
              </w:rPr>
              <w:t>课内教学</w:t>
            </w:r>
          </w:p>
        </w:tc>
        <w:tc>
          <w:tcPr>
            <w:tcW w:w="788"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60" w:lineRule="exact"/>
              <w:rPr>
                <w:rFonts w:hint="eastAsia" w:ascii="宋体" w:hAnsi="宋体" w:eastAsia="宋体" w:cs="宋体"/>
                <w:sz w:val="24"/>
                <w:lang w:val="zh-CN" w:eastAsia="zh-CN"/>
              </w:rPr>
            </w:pPr>
            <w:r>
              <w:rPr>
                <w:rFonts w:hint="eastAsia" w:ascii="宋体" w:hAnsi="宋体" w:eastAsia="宋体" w:cs="宋体"/>
                <w:sz w:val="24"/>
                <w:lang w:val="zh-CN" w:eastAsia="zh-CN"/>
              </w:rPr>
              <w:t>考试（查）与期末总结</w:t>
            </w:r>
          </w:p>
        </w:tc>
        <w:tc>
          <w:tcPr>
            <w:tcW w:w="788"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60" w:lineRule="exact"/>
              <w:rPr>
                <w:rFonts w:hint="eastAsia" w:ascii="宋体" w:hAnsi="宋体" w:eastAsia="宋体" w:cs="宋体"/>
                <w:sz w:val="24"/>
                <w:lang w:val="zh-CN" w:eastAsia="zh-CN"/>
              </w:rPr>
            </w:pPr>
            <w:r>
              <w:rPr>
                <w:rFonts w:hint="eastAsia" w:ascii="宋体" w:hAnsi="宋体" w:eastAsia="宋体" w:cs="宋体"/>
                <w:sz w:val="24"/>
                <w:lang w:val="zh-CN" w:eastAsia="zh-CN"/>
              </w:rPr>
              <w:t>岗位实习</w:t>
            </w:r>
          </w:p>
        </w:tc>
        <w:tc>
          <w:tcPr>
            <w:tcW w:w="792"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小计</w:t>
            </w:r>
          </w:p>
        </w:tc>
      </w:tr>
      <w:tr>
        <w:tblPrEx>
          <w:tblCellMar>
            <w:top w:w="0" w:type="dxa"/>
            <w:left w:w="108" w:type="dxa"/>
            <w:bottom w:w="0" w:type="dxa"/>
            <w:right w:w="108" w:type="dxa"/>
          </w:tblCellMar>
        </w:tblPrEx>
        <w:trPr>
          <w:trHeight w:val="375" w:hRule="atLeast"/>
        </w:trPr>
        <w:tc>
          <w:tcPr>
            <w:tcW w:w="932" w:type="pct"/>
            <w:gridSpan w:val="2"/>
            <w:tcBorders>
              <w:top w:val="nil"/>
              <w:left w:val="single" w:color="000000" w:sz="4" w:space="0"/>
              <w:bottom w:val="nil"/>
              <w:right w:val="single" w:color="000000" w:sz="4" w:space="0"/>
            </w:tcBorders>
            <w:noWrap w:val="0"/>
            <w:vAlign w:val="center"/>
          </w:tcPr>
          <w:p>
            <w:pPr>
              <w:widowControl/>
              <w:tabs>
                <w:tab w:val="right" w:pos="1470"/>
              </w:tabs>
              <w:jc w:val="left"/>
              <w:textAlignment w:val="center"/>
              <w:rPr>
                <w:rFonts w:ascii="仿宋_GB2312" w:hAnsi="仿宋_GB2312" w:cs="仿宋_GB2312"/>
                <w:sz w:val="24"/>
              </w:rPr>
            </w:pPr>
            <w:r>
              <w:rPr>
                <w:rFonts w:hint="eastAsia" w:ascii="仿宋_GB2312" w:hAnsi="仿宋_GB2312" w:cs="仿宋_GB2312"/>
                <w:kern w:val="0"/>
                <w:sz w:val="24"/>
                <w:lang w:bidi="ar"/>
              </w:rPr>
              <w:t xml:space="preserve"> </w:t>
            </w:r>
            <w:r>
              <w:rPr>
                <w:rFonts w:hint="eastAsia" w:ascii="仿宋_GB2312" w:hAnsi="仿宋_GB2312" w:cs="仿宋_GB2312"/>
                <w:kern w:val="0"/>
                <w:sz w:val="24"/>
                <w:lang w:bidi="ar"/>
              </w:rPr>
              <w:tab/>
            </w:r>
            <w:r>
              <w:rPr>
                <w:rFonts w:hint="eastAsia" w:ascii="仿宋_GB2312" w:hAnsi="仿宋_GB2312" w:cs="仿宋_GB2312"/>
                <w:kern w:val="0"/>
                <w:sz w:val="24"/>
                <w:lang w:bidi="ar"/>
              </w:rPr>
              <w:t xml:space="preserve">   数   </w:t>
            </w:r>
          </w:p>
        </w:tc>
        <w:tc>
          <w:tcPr>
            <w:tcW w:w="821"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879"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r>
      <w:tr>
        <w:tblPrEx>
          <w:tblCellMar>
            <w:top w:w="0" w:type="dxa"/>
            <w:left w:w="108" w:type="dxa"/>
            <w:bottom w:w="0" w:type="dxa"/>
            <w:right w:w="108" w:type="dxa"/>
          </w:tblCellMar>
        </w:tblPrEx>
        <w:trPr>
          <w:trHeight w:val="375" w:hRule="atLeast"/>
        </w:trPr>
        <w:tc>
          <w:tcPr>
            <w:tcW w:w="932" w:type="pct"/>
            <w:gridSpan w:val="2"/>
            <w:tcBorders>
              <w:top w:val="nil"/>
              <w:left w:val="single" w:color="000000" w:sz="4" w:space="0"/>
              <w:bottom w:val="nil"/>
              <w:right w:val="single" w:color="000000" w:sz="4" w:space="0"/>
            </w:tcBorders>
            <w:noWrap w:val="0"/>
            <w:vAlign w:val="center"/>
          </w:tcPr>
          <w:p>
            <w:pPr>
              <w:widowControl/>
              <w:textAlignment w:val="center"/>
              <w:rPr>
                <w:rFonts w:ascii="仿宋_GB2312" w:hAnsi="仿宋_GB2312" w:cs="仿宋_GB2312"/>
                <w:sz w:val="24"/>
              </w:rPr>
            </w:pPr>
            <w:r>
              <w:rPr>
                <w:rFonts w:hint="eastAsia" w:ascii="仿宋_GB2312" w:hAnsi="仿宋_GB2312" w:cs="仿宋_GB2312"/>
                <w:sz w:val="24"/>
              </w:rPr>
              <w:t>年   期</w:t>
            </w:r>
          </w:p>
        </w:tc>
        <w:tc>
          <w:tcPr>
            <w:tcW w:w="821"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879"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r>
      <w:tr>
        <w:tblPrEx>
          <w:tblCellMar>
            <w:top w:w="0" w:type="dxa"/>
            <w:left w:w="108" w:type="dxa"/>
            <w:bottom w:w="0" w:type="dxa"/>
            <w:right w:w="108" w:type="dxa"/>
          </w:tblCellMar>
        </w:tblPrEx>
        <w:trPr>
          <w:trHeight w:val="117" w:hRule="atLeast"/>
        </w:trPr>
        <w:tc>
          <w:tcPr>
            <w:tcW w:w="932" w:type="pct"/>
            <w:gridSpan w:val="2"/>
            <w:tcBorders>
              <w:top w:val="nil"/>
              <w:left w:val="single" w:color="000000" w:sz="4" w:space="0"/>
              <w:bottom w:val="single" w:color="000000" w:sz="4" w:space="0"/>
              <w:right w:val="single" w:color="000000" w:sz="4" w:space="0"/>
            </w:tcBorders>
            <w:noWrap w:val="0"/>
            <w:vAlign w:val="center"/>
          </w:tcPr>
          <w:p>
            <w:pPr>
              <w:rPr>
                <w:rFonts w:ascii="仿宋_GB2312" w:hAnsi="仿宋_GB2312" w:cs="仿宋_GB2312"/>
                <w:sz w:val="24"/>
              </w:rPr>
            </w:pPr>
          </w:p>
        </w:tc>
        <w:tc>
          <w:tcPr>
            <w:tcW w:w="821"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879"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p>
        </w:tc>
      </w:tr>
      <w:tr>
        <w:tblPrEx>
          <w:tblCellMar>
            <w:top w:w="0" w:type="dxa"/>
            <w:left w:w="108" w:type="dxa"/>
            <w:bottom w:w="0" w:type="dxa"/>
            <w:right w:w="108" w:type="dxa"/>
          </w:tblCellMar>
        </w:tblPrEx>
        <w:trPr>
          <w:trHeight w:val="560" w:hRule="atLeast"/>
        </w:trPr>
        <w:tc>
          <w:tcPr>
            <w:tcW w:w="4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Ⅰ</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一</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r>
              <w:rPr>
                <w:rFonts w:hint="eastAsia" w:ascii="仿宋_GB2312" w:hAnsi="Times New Roman" w:eastAsia="仿宋_GB2312" w:cs="Times New Roman"/>
                <w:sz w:val="24"/>
              </w:rPr>
              <w:t>3</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r>
              <w:rPr>
                <w:rFonts w:hint="eastAsia" w:ascii="仿宋_GB2312" w:hAnsi="Times New Roman" w:eastAsia="仿宋_GB2312" w:cs="Times New Roman"/>
                <w:sz w:val="24"/>
              </w:rPr>
              <w:t>16</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r>
              <w:rPr>
                <w:rFonts w:hint="eastAsia" w:ascii="仿宋_GB2312" w:hAnsi="Times New Roman" w:eastAsia="仿宋_GB2312" w:cs="Times New Roman"/>
                <w:sz w:val="24"/>
              </w:rPr>
              <w:t>1</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r>
              <w:rPr>
                <w:rFonts w:hint="eastAsia" w:ascii="仿宋_GB2312" w:hAnsi="Times New Roman" w:eastAsia="仿宋_GB2312" w:cs="Times New Roman"/>
                <w:sz w:val="24"/>
              </w:rPr>
              <w:t>/</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555"/>
              <w:rPr>
                <w:rFonts w:hint="eastAsia" w:ascii="仿宋_GB2312" w:hAnsi="Times New Roman" w:eastAsia="仿宋_GB2312" w:cs="Times New Roman"/>
                <w:sz w:val="24"/>
              </w:rPr>
            </w:pPr>
            <w:r>
              <w:rPr>
                <w:rFonts w:hint="eastAsia" w:ascii="仿宋_GB2312" w:hAnsi="Times New Roman" w:eastAsia="仿宋_GB2312" w:cs="Times New Roman"/>
                <w:sz w:val="24"/>
              </w:rPr>
              <w:t>20</w:t>
            </w:r>
          </w:p>
        </w:tc>
      </w:tr>
      <w:tr>
        <w:tblPrEx>
          <w:tblCellMar>
            <w:top w:w="0" w:type="dxa"/>
            <w:left w:w="108" w:type="dxa"/>
            <w:bottom w:w="0" w:type="dxa"/>
            <w:right w:w="108" w:type="dxa"/>
          </w:tblCellMar>
        </w:tblPrEx>
        <w:trPr>
          <w:trHeight w:val="560" w:hRule="atLeast"/>
        </w:trPr>
        <w:tc>
          <w:tcPr>
            <w:tcW w:w="4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cs="仿宋_GB2312"/>
                <w:sz w:val="24"/>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二</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18</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2</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20</w:t>
            </w:r>
          </w:p>
        </w:tc>
      </w:tr>
      <w:tr>
        <w:tblPrEx>
          <w:tblCellMar>
            <w:top w:w="0" w:type="dxa"/>
            <w:left w:w="108" w:type="dxa"/>
            <w:bottom w:w="0" w:type="dxa"/>
            <w:right w:w="108" w:type="dxa"/>
          </w:tblCellMar>
        </w:tblPrEx>
        <w:trPr>
          <w:trHeight w:val="560" w:hRule="atLeast"/>
        </w:trPr>
        <w:tc>
          <w:tcPr>
            <w:tcW w:w="4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sz w:val="24"/>
              </w:rPr>
              <w:t>Ⅱ</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三</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18</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2</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20</w:t>
            </w:r>
          </w:p>
        </w:tc>
      </w:tr>
      <w:tr>
        <w:tblPrEx>
          <w:tblCellMar>
            <w:top w:w="0" w:type="dxa"/>
            <w:left w:w="108" w:type="dxa"/>
            <w:bottom w:w="0" w:type="dxa"/>
            <w:right w:w="108" w:type="dxa"/>
          </w:tblCellMar>
        </w:tblPrEx>
        <w:trPr>
          <w:trHeight w:val="560" w:hRule="atLeast"/>
        </w:trPr>
        <w:tc>
          <w:tcPr>
            <w:tcW w:w="4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cs="仿宋_GB2312"/>
                <w:sz w:val="24"/>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四</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2</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18</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20</w:t>
            </w:r>
          </w:p>
        </w:tc>
      </w:tr>
      <w:tr>
        <w:tblPrEx>
          <w:tblCellMar>
            <w:top w:w="0" w:type="dxa"/>
            <w:left w:w="108" w:type="dxa"/>
            <w:bottom w:w="0" w:type="dxa"/>
            <w:right w:w="108" w:type="dxa"/>
          </w:tblCellMar>
        </w:tblPrEx>
        <w:trPr>
          <w:trHeight w:val="560"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合    计</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3</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52</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7</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18</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cs="仿宋_GB2312"/>
                <w:sz w:val="24"/>
              </w:rPr>
            </w:pPr>
            <w:r>
              <w:rPr>
                <w:rFonts w:hint="eastAsia" w:ascii="仿宋_GB2312" w:hAnsi="仿宋_GB2312" w:cs="仿宋_GB2312"/>
                <w:kern w:val="0"/>
                <w:sz w:val="24"/>
                <w:lang w:bidi="ar"/>
              </w:rPr>
              <w:t>80</w:t>
            </w:r>
          </w:p>
        </w:tc>
      </w:tr>
    </w:tbl>
    <w:p>
      <w:pPr>
        <w:spacing w:line="440" w:lineRule="exact"/>
        <w:ind w:firstLine="420" w:firstLineChars="200"/>
        <w:jc w:val="left"/>
        <w:rPr>
          <w:rFonts w:eastAsia="黑体"/>
          <w:b/>
          <w:kern w:val="44"/>
          <w:sz w:val="30"/>
        </w:rPr>
      </w:pPr>
      <w:r>
        <w:rPr>
          <w:rFonts w:hint="eastAsia" w:ascii="仿宋_GB2312" w:hAnsi="仿宋_GB2312" w:cs="仿宋_GB2312"/>
          <w:szCs w:val="32"/>
        </w:rPr>
        <w:t>（此表数据以周为单位）</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r>
        <w:rPr>
          <w:rFonts w:hint="eastAsia" w:eastAsia="黑体"/>
          <w:b/>
          <w:kern w:val="44"/>
          <w:sz w:val="30"/>
        </w:rPr>
        <w:t>实施保障</w:t>
      </w:r>
      <w:bookmarkEnd w:id="63"/>
      <w:bookmarkEnd w:id="64"/>
      <w:bookmarkEnd w:id="65"/>
      <w:bookmarkEnd w:id="66"/>
      <w:bookmarkEnd w:id="67"/>
    </w:p>
    <w:p>
      <w:pPr>
        <w:spacing w:line="460" w:lineRule="exact"/>
        <w:ind w:firstLine="480" w:firstLineChars="200"/>
        <w:rPr>
          <w:rFonts w:hint="eastAsia" w:ascii="宋体" w:hAnsi="宋体" w:eastAsia="宋体" w:cs="宋体"/>
          <w:sz w:val="24"/>
          <w:lang w:val="zh-CN" w:eastAsia="zh-CN"/>
        </w:rPr>
      </w:pPr>
      <w:r>
        <w:rPr>
          <w:rFonts w:hint="eastAsia" w:ascii="宋体" w:hAnsi="宋体" w:eastAsia="宋体" w:cs="宋体"/>
          <w:sz w:val="24"/>
          <w:lang w:val="en-US" w:eastAsia="zh-CN"/>
        </w:rPr>
        <w:t>服装设计与工艺</w:t>
      </w:r>
      <w:r>
        <w:rPr>
          <w:rFonts w:hint="eastAsia" w:ascii="宋体" w:hAnsi="宋体" w:eastAsia="宋体" w:cs="宋体"/>
          <w:sz w:val="24"/>
          <w:lang w:val="zh-CN" w:eastAsia="zh-CN"/>
        </w:rPr>
        <w:t>专业人才培养方案实施保障主要包括师资队伍、教学设施、教学资源、教学实施、学习评价、质量管理等方面。</w:t>
      </w:r>
    </w:p>
    <w:p>
      <w:pPr>
        <w:spacing w:line="460" w:lineRule="exact"/>
        <w:ind w:firstLine="562" w:firstLineChars="200"/>
        <w:rPr>
          <w:rFonts w:hint="eastAsia" w:ascii="宋体" w:hAnsi="宋体" w:eastAsia="宋体" w:cs="宋体"/>
          <w:b/>
          <w:bCs/>
          <w:sz w:val="28"/>
          <w:szCs w:val="28"/>
          <w:lang w:val="zh-CN" w:eastAsia="zh-CN"/>
        </w:rPr>
      </w:pPr>
      <w:bookmarkStart w:id="68" w:name="_Toc24804"/>
      <w:bookmarkStart w:id="69" w:name="_Toc24146"/>
      <w:bookmarkStart w:id="70" w:name="_Toc3958"/>
      <w:bookmarkStart w:id="71" w:name="_Toc25539"/>
      <w:bookmarkStart w:id="72" w:name="_Toc31185"/>
      <w:r>
        <w:rPr>
          <w:rFonts w:hint="eastAsia" w:ascii="宋体" w:hAnsi="宋体" w:eastAsia="宋体" w:cs="宋体"/>
          <w:b/>
          <w:bCs/>
          <w:sz w:val="28"/>
          <w:szCs w:val="28"/>
          <w:lang w:val="zh-CN" w:eastAsia="zh-CN"/>
        </w:rPr>
        <w:t>师资队伍</w:t>
      </w:r>
      <w:bookmarkEnd w:id="68"/>
      <w:bookmarkEnd w:id="69"/>
      <w:bookmarkEnd w:id="70"/>
      <w:bookmarkEnd w:id="71"/>
      <w:bookmarkEnd w:id="72"/>
    </w:p>
    <w:p>
      <w:pPr>
        <w:pStyle w:val="2"/>
        <w:jc w:val="both"/>
      </w:pPr>
      <w:r>
        <w:rPr>
          <w:rFonts w:hint="eastAsia" w:eastAsia="黑体"/>
          <w:b w:val="0"/>
          <w:bCs/>
          <w:kern w:val="44"/>
          <w:sz w:val="30"/>
          <w:lang w:val="en-US" w:eastAsia="zh-CN"/>
        </w:rPr>
        <w:t>中职阶段</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1.教学团队总体要求</w:t>
      </w:r>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本专业教学团队：服装专业教师7人，其中高级教师3人，硕士研究生2人、“双师型” 教师3人、外聘行业兼职教师1人。</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2.专任教师要求</w:t>
      </w:r>
    </w:p>
    <w:p>
      <w:pPr>
        <w:spacing w:line="46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宋体" w:hAnsi="宋体" w:eastAsia="宋体" w:cs="宋体"/>
          <w:sz w:val="24"/>
          <w:lang w:val="en-US" w:eastAsia="zh-CN"/>
        </w:rPr>
        <w:t>服装设计与工艺专业专任教师要求具有高中阶段学校及以上教师资格证书；有道德情操、有扎实学识、有仁爱之心；具有服装设计与工艺相关专业学历；具有本专业理论和实践能力；能够落实课程思政要求，挖掘专业课程中的思政教育元素和资源；能够调配、规划实验实训设备，完善符合现代教学方式的教学场所；能够跟踪新经济、新技术发展前沿，开展社会服务；专业教师每年至少1个月在企业或实训基地实训，每5年累计不少于6个月的企业实践经历。</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3.兼职教师要求</w:t>
      </w:r>
    </w:p>
    <w:p>
      <w:pPr>
        <w:spacing w:line="460" w:lineRule="exact"/>
        <w:ind w:firstLine="480" w:firstLineChars="200"/>
        <w:rPr>
          <w:rFonts w:hint="eastAsia" w:ascii="宋体" w:hAnsi="宋体" w:eastAsia="宋体" w:cs="宋体"/>
          <w:sz w:val="24"/>
          <w:lang w:val="en-US" w:eastAsia="zh-CN"/>
        </w:rPr>
      </w:pPr>
      <w:bookmarkStart w:id="73" w:name="_Toc28280"/>
      <w:bookmarkStart w:id="74" w:name="_Toc20635"/>
      <w:bookmarkStart w:id="75" w:name="_Toc17999"/>
      <w:bookmarkStart w:id="76" w:name="_Toc21276"/>
      <w:bookmarkStart w:id="77" w:name="_Toc27128"/>
      <w:r>
        <w:rPr>
          <w:rFonts w:hint="eastAsia" w:ascii="宋体" w:hAnsi="宋体" w:eastAsia="宋体" w:cs="宋体"/>
          <w:sz w:val="24"/>
          <w:lang w:val="en-US" w:eastAsia="zh-CN"/>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73"/>
      <w:r>
        <w:rPr>
          <w:rFonts w:hint="eastAsia" w:ascii="宋体" w:hAnsi="宋体" w:eastAsia="宋体" w:cs="宋体"/>
          <w:sz w:val="24"/>
          <w:lang w:val="en-US" w:eastAsia="zh-CN"/>
        </w:rPr>
        <w:t>。</w:t>
      </w:r>
    </w:p>
    <w:p>
      <w:pPr>
        <w:pStyle w:val="2"/>
        <w:jc w:val="both"/>
        <w:rPr>
          <w:rFonts w:hint="eastAsia" w:eastAsia="黑体"/>
          <w:b w:val="0"/>
          <w:bCs/>
          <w:kern w:val="44"/>
          <w:sz w:val="28"/>
          <w:szCs w:val="28"/>
          <w:lang w:val="en-US" w:eastAsia="zh-CN"/>
        </w:rPr>
      </w:pPr>
      <w:r>
        <w:rPr>
          <w:rFonts w:hint="eastAsia" w:eastAsia="黑体"/>
          <w:b w:val="0"/>
          <w:bCs/>
          <w:kern w:val="44"/>
          <w:sz w:val="28"/>
          <w:szCs w:val="28"/>
          <w:lang w:val="en-US" w:eastAsia="zh-CN"/>
        </w:rPr>
        <w:t>高职阶段</w:t>
      </w:r>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本专业教学团队共10人，其中学校专任教师 7 人，占 70  %，来自行业企业的兼职教师 3人，占 30 %；师生比在1：30左右。</w:t>
      </w:r>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组成结构如下：讲师5人，占教师总数的50%；助教2人，占教师总数的20%，行业专家3名，占30%。学历结构：硕士研究生5人，占教师总数的50%；，本科2人，占教师总数的20%。双师型比例：“双师型”教师1人，占专任教师总数的10%。企业经历：专任教师在企业工作经历有11人，占教师总数的84%。</w:t>
      </w:r>
    </w:p>
    <w:p>
      <w:pPr>
        <w:pStyle w:val="4"/>
        <w:numPr>
          <w:ilvl w:val="0"/>
          <w:numId w:val="8"/>
        </w:numPr>
        <w:spacing w:before="93" w:after="93"/>
        <w:ind w:firstLineChars="0"/>
      </w:pPr>
      <w:bookmarkStart w:id="78" w:name="_Toc7804"/>
      <w:r>
        <w:rPr>
          <w:rFonts w:hint="eastAsia"/>
        </w:rPr>
        <w:t>教学设施</w:t>
      </w:r>
      <w:bookmarkEnd w:id="74"/>
      <w:bookmarkEnd w:id="75"/>
      <w:bookmarkEnd w:id="76"/>
      <w:bookmarkEnd w:id="77"/>
      <w:bookmarkEnd w:id="78"/>
    </w:p>
    <w:p>
      <w:pPr>
        <w:pStyle w:val="2"/>
        <w:jc w:val="both"/>
      </w:pPr>
      <w:r>
        <w:rPr>
          <w:rFonts w:hint="eastAsia" w:eastAsia="黑体"/>
          <w:b w:val="0"/>
          <w:bCs/>
          <w:kern w:val="44"/>
          <w:sz w:val="30"/>
          <w:lang w:val="en-US" w:eastAsia="zh-CN"/>
        </w:rPr>
        <w:t>中职阶段</w:t>
      </w:r>
    </w:p>
    <w:p>
      <w:pPr>
        <w:spacing w:line="440" w:lineRule="exact"/>
        <w:ind w:firstLine="482" w:firstLineChars="200"/>
        <w:outlineLvl w:val="2"/>
        <w:rPr>
          <w:rFonts w:ascii="宋体" w:hAnsi="宋体" w:eastAsia="宋体" w:cs="宋体"/>
          <w:b/>
          <w:sz w:val="24"/>
          <w:lang w:bidi="ar"/>
        </w:rPr>
      </w:pPr>
      <w:bookmarkStart w:id="79" w:name="_Toc30118"/>
      <w:r>
        <w:rPr>
          <w:rFonts w:hint="eastAsia" w:ascii="宋体" w:hAnsi="宋体" w:eastAsia="宋体" w:cs="宋体"/>
          <w:b/>
          <w:sz w:val="24"/>
          <w:lang w:bidi="ar"/>
        </w:rPr>
        <w:t>1.专业教室</w:t>
      </w:r>
      <w:bookmarkEnd w:id="79"/>
    </w:p>
    <w:p>
      <w:pPr>
        <w:spacing w:line="460" w:lineRule="exact"/>
        <w:ind w:firstLine="480" w:firstLineChars="200"/>
        <w:rPr>
          <w:rFonts w:hint="eastAsia" w:ascii="宋体" w:hAnsi="宋体" w:eastAsia="宋体" w:cs="宋体"/>
          <w:sz w:val="24"/>
          <w:lang w:val="en-US" w:eastAsia="zh-CN"/>
        </w:rPr>
      </w:pPr>
      <w:bookmarkStart w:id="80" w:name="_Hlk83220190"/>
      <w:bookmarkStart w:id="81" w:name="_Toc11904"/>
      <w:r>
        <w:rPr>
          <w:rFonts w:hint="eastAsia" w:ascii="宋体" w:hAnsi="宋体" w:eastAsia="宋体" w:cs="宋体"/>
          <w:sz w:val="24"/>
          <w:lang w:val="en-US" w:eastAsia="zh-CN"/>
        </w:rPr>
        <w:t>具备利用信息化手段开展混合式教学的条件。</w:t>
      </w:r>
      <w:bookmarkEnd w:id="80"/>
      <w:r>
        <w:rPr>
          <w:rFonts w:hint="eastAsia" w:ascii="宋体" w:hAnsi="宋体" w:eastAsia="宋体" w:cs="宋体"/>
          <w:sz w:val="24"/>
          <w:lang w:val="en-US" w:eastAsia="zh-CN"/>
        </w:rPr>
        <w:t>一般配备黑（白）板、多媒体计算机、投影设备、音响设备，互联网接入或无线网络环境，并具有网络安全防护措施。安装应急照明装置并保持良好状态，符合紧急疏散要求、标志明显、保持逃生通道畅通无阻。</w:t>
      </w:r>
    </w:p>
    <w:p>
      <w:pPr>
        <w:spacing w:line="440" w:lineRule="exact"/>
        <w:ind w:left="420" w:leftChars="200"/>
        <w:outlineLvl w:val="2"/>
        <w:rPr>
          <w:rFonts w:ascii="宋体" w:hAnsi="宋体" w:eastAsia="宋体" w:cs="宋体"/>
          <w:b/>
          <w:sz w:val="24"/>
          <w:lang w:bidi="ar"/>
        </w:rPr>
      </w:pPr>
      <w:r>
        <w:rPr>
          <w:rFonts w:hint="eastAsia" w:ascii="宋体" w:hAnsi="宋体" w:eastAsia="宋体" w:cs="宋体"/>
          <w:b/>
          <w:sz w:val="24"/>
          <w:lang w:bidi="ar"/>
        </w:rPr>
        <w:t>2.校内实训</w:t>
      </w:r>
      <w:bookmarkEnd w:id="81"/>
      <w:r>
        <w:rPr>
          <w:rFonts w:hint="eastAsia" w:ascii="宋体" w:hAnsi="宋体" w:eastAsia="宋体" w:cs="宋体"/>
          <w:b/>
          <w:sz w:val="24"/>
          <w:lang w:bidi="ar"/>
        </w:rPr>
        <w:t>室</w:t>
      </w:r>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除本专业群共享实训室外，本专业校内实习必须具备的实训室与设备设施和主要工具的名称及数量见下表。</w:t>
      </w:r>
    </w:p>
    <w:tbl>
      <w:tblPr>
        <w:tblStyle w:val="21"/>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46"/>
        <w:gridCol w:w="459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91"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tc>
        <w:tc>
          <w:tcPr>
            <w:tcW w:w="1346"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实训室名称</w:t>
            </w:r>
          </w:p>
        </w:tc>
        <w:tc>
          <w:tcPr>
            <w:tcW w:w="4593"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设备设施（工具）名称</w:t>
            </w:r>
          </w:p>
        </w:tc>
        <w:tc>
          <w:tcPr>
            <w:tcW w:w="1728" w:type="dxa"/>
            <w:tcBorders>
              <w:tl2br w:val="nil"/>
              <w:tr2bl w:val="nil"/>
            </w:tcBorders>
            <w:vAlign w:val="center"/>
          </w:tcPr>
          <w:p>
            <w:pPr>
              <w:widowControl/>
              <w:snapToGrid w:val="0"/>
              <w:jc w:val="center"/>
              <w:rPr>
                <w:rFonts w:ascii="宋体" w:hAnsi="宋体" w:eastAsia="宋体" w:cs="宋体"/>
                <w:b/>
                <w:color w:val="000000"/>
                <w:kern w:val="0"/>
                <w:szCs w:val="21"/>
              </w:rPr>
            </w:pPr>
            <w:r>
              <w:rPr>
                <w:rFonts w:hint="eastAsia" w:ascii="宋体" w:hAnsi="宋体" w:eastAsia="宋体" w:cs="宋体"/>
                <w:b/>
                <w:color w:val="000000"/>
                <w:kern w:val="0"/>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restart"/>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46" w:type="dxa"/>
            <w:vMerge w:val="restart"/>
            <w:tcBorders>
              <w:tl2br w:val="nil"/>
              <w:tr2bl w:val="nil"/>
            </w:tcBorders>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缝制工艺、裁剪室</w:t>
            </w:r>
          </w:p>
        </w:tc>
        <w:tc>
          <w:tcPr>
            <w:tcW w:w="4593" w:type="dxa"/>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电脑高速平缝机</w:t>
            </w:r>
          </w:p>
        </w:tc>
        <w:tc>
          <w:tcPr>
            <w:tcW w:w="1728" w:type="dxa"/>
            <w:tcBorders>
              <w:tl2br w:val="nil"/>
              <w:tr2bl w:val="nil"/>
            </w:tcBorders>
            <w:vAlign w:val="center"/>
          </w:tcPr>
          <w:p>
            <w:pPr>
              <w:widowControl/>
              <w:snapToGrid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1346" w:type="dxa"/>
            <w:vMerge w:val="continue"/>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p>
        </w:tc>
        <w:tc>
          <w:tcPr>
            <w:tcW w:w="4593" w:type="dxa"/>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锁边机</w:t>
            </w:r>
          </w:p>
        </w:tc>
        <w:tc>
          <w:tcPr>
            <w:tcW w:w="1728" w:type="dxa"/>
            <w:tcBorders>
              <w:tl2br w:val="nil"/>
              <w:tr2bl w:val="nil"/>
            </w:tcBorders>
            <w:vAlign w:val="center"/>
          </w:tcPr>
          <w:p>
            <w:pPr>
              <w:widowControl/>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1346" w:type="dxa"/>
            <w:vMerge w:val="continue"/>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p>
        </w:tc>
        <w:tc>
          <w:tcPr>
            <w:tcW w:w="4593" w:type="dxa"/>
            <w:tcBorders>
              <w:tl2br w:val="nil"/>
              <w:tr2bl w:val="nil"/>
            </w:tcBorders>
            <w:vAlign w:val="center"/>
          </w:tcPr>
          <w:p>
            <w:pPr>
              <w:spacing w:line="46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 xml:space="preserve">  烫斗</w:t>
            </w:r>
          </w:p>
        </w:tc>
        <w:tc>
          <w:tcPr>
            <w:tcW w:w="1728" w:type="dxa"/>
            <w:tcBorders>
              <w:tl2br w:val="nil"/>
              <w:tr2bl w:val="nil"/>
            </w:tcBorders>
            <w:vAlign w:val="center"/>
          </w:tcPr>
          <w:p>
            <w:pPr>
              <w:widowControl/>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1346" w:type="dxa"/>
            <w:vMerge w:val="continue"/>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p>
        </w:tc>
        <w:tc>
          <w:tcPr>
            <w:tcW w:w="4593" w:type="dxa"/>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扣眼机</w:t>
            </w:r>
          </w:p>
        </w:tc>
        <w:tc>
          <w:tcPr>
            <w:tcW w:w="1728" w:type="dxa"/>
            <w:tcBorders>
              <w:tl2br w:val="nil"/>
              <w:tr2bl w:val="nil"/>
            </w:tcBorders>
            <w:vAlign w:val="center"/>
          </w:tcPr>
          <w:p>
            <w:pPr>
              <w:widowControl/>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1346" w:type="dxa"/>
            <w:vMerge w:val="continue"/>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p>
        </w:tc>
        <w:tc>
          <w:tcPr>
            <w:tcW w:w="4593" w:type="dxa"/>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挑裤脚机</w:t>
            </w:r>
          </w:p>
        </w:tc>
        <w:tc>
          <w:tcPr>
            <w:tcW w:w="1728" w:type="dxa"/>
            <w:tcBorders>
              <w:tl2br w:val="nil"/>
              <w:tr2bl w:val="nil"/>
            </w:tcBorders>
            <w:vAlign w:val="center"/>
          </w:tcPr>
          <w:p>
            <w:pPr>
              <w:widowControl/>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1346" w:type="dxa"/>
            <w:vMerge w:val="continue"/>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p>
        </w:tc>
        <w:tc>
          <w:tcPr>
            <w:tcW w:w="4593" w:type="dxa"/>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裁台</w:t>
            </w:r>
          </w:p>
        </w:tc>
        <w:tc>
          <w:tcPr>
            <w:tcW w:w="1728" w:type="dxa"/>
            <w:tcBorders>
              <w:tl2br w:val="nil"/>
              <w:tr2bl w:val="nil"/>
            </w:tcBorders>
            <w:vAlign w:val="center"/>
          </w:tcPr>
          <w:p>
            <w:pPr>
              <w:widowControl/>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Merge w:val="continue"/>
            <w:tcBorders>
              <w:tl2br w:val="nil"/>
              <w:tr2bl w:val="nil"/>
            </w:tcBorders>
            <w:vAlign w:val="center"/>
          </w:tcPr>
          <w:p>
            <w:pPr>
              <w:widowControl/>
              <w:snapToGrid w:val="0"/>
              <w:jc w:val="center"/>
              <w:rPr>
                <w:rFonts w:ascii="宋体" w:hAnsi="宋体" w:eastAsia="宋体" w:cs="宋体"/>
                <w:color w:val="000000"/>
                <w:kern w:val="0"/>
                <w:szCs w:val="21"/>
              </w:rPr>
            </w:pPr>
          </w:p>
        </w:tc>
        <w:tc>
          <w:tcPr>
            <w:tcW w:w="1346" w:type="dxa"/>
            <w:vMerge w:val="continue"/>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p>
        </w:tc>
        <w:tc>
          <w:tcPr>
            <w:tcW w:w="4593" w:type="dxa"/>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人体模型</w:t>
            </w:r>
          </w:p>
        </w:tc>
        <w:tc>
          <w:tcPr>
            <w:tcW w:w="1728" w:type="dxa"/>
            <w:tcBorders>
              <w:tl2br w:val="nil"/>
              <w:tr2bl w:val="nil"/>
            </w:tcBorders>
            <w:vAlign w:val="center"/>
          </w:tcPr>
          <w:p>
            <w:pPr>
              <w:widowControl/>
              <w:snapToGrid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tcBorders>
              <w:tl2br w:val="nil"/>
              <w:tr2bl w:val="nil"/>
            </w:tcBorders>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346" w:type="dxa"/>
            <w:tcBorders>
              <w:tl2br w:val="nil"/>
              <w:tr2bl w:val="nil"/>
            </w:tcBorders>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电脑服装设计室</w:t>
            </w:r>
          </w:p>
        </w:tc>
        <w:tc>
          <w:tcPr>
            <w:tcW w:w="4593" w:type="dxa"/>
            <w:tcBorders>
              <w:tl2br w:val="nil"/>
              <w:tr2bl w:val="nil"/>
            </w:tcBorders>
            <w:vAlign w:val="center"/>
          </w:tcPr>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电脑</w:t>
            </w:r>
          </w:p>
        </w:tc>
        <w:tc>
          <w:tcPr>
            <w:tcW w:w="1728" w:type="dxa"/>
            <w:tcBorders>
              <w:tl2br w:val="nil"/>
              <w:tr2bl w:val="nil"/>
            </w:tcBorders>
            <w:vAlign w:val="center"/>
          </w:tcPr>
          <w:p>
            <w:pPr>
              <w:widowControl/>
              <w:snapToGrid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8" w:type="dxa"/>
            <w:gridSpan w:val="4"/>
            <w:tcBorders>
              <w:tl2br w:val="nil"/>
              <w:tr2bl w:val="nil"/>
            </w:tcBorders>
            <w:vAlign w:val="center"/>
          </w:tcPr>
          <w:p>
            <w:pPr>
              <w:widowControl/>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说明：主要设施设备及工量具数量按照标准班最高40人/班配置。</w:t>
            </w:r>
          </w:p>
        </w:tc>
      </w:tr>
    </w:tbl>
    <w:p>
      <w:pPr>
        <w:spacing w:line="440" w:lineRule="exact"/>
        <w:ind w:left="420" w:leftChars="200"/>
        <w:outlineLvl w:val="2"/>
        <w:rPr>
          <w:rFonts w:ascii="宋体" w:hAnsi="宋体" w:eastAsia="宋体" w:cs="宋体"/>
          <w:b/>
          <w:sz w:val="24"/>
          <w:lang w:bidi="ar"/>
        </w:rPr>
      </w:pPr>
      <w:bookmarkStart w:id="82" w:name="_Toc32182"/>
      <w:bookmarkStart w:id="83" w:name="_Toc14110"/>
      <w:r>
        <w:rPr>
          <w:rFonts w:hint="eastAsia" w:ascii="宋体" w:hAnsi="宋体" w:eastAsia="宋体" w:cs="宋体"/>
          <w:b/>
          <w:sz w:val="24"/>
          <w:lang w:bidi="ar"/>
        </w:rPr>
        <w:t>3.校外实习基地</w:t>
      </w:r>
      <w:bookmarkEnd w:id="82"/>
      <w:bookmarkEnd w:id="83"/>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根据服装设计与工艺专业专业人才培养需要和专业发展特点，建立两类校外实训基地：一类是以专业认识和参观为主的实训基地，能够反映目前专业方向新技术，并能同时接纳较多学生学习，为新生入学教育和认识专业课程教学提供条件；另一类是以社会实践及学生岗位实习为主的实训基地，能够为学生提供真实专业方向综合实践轮岗训练的工作岗位，并能保证有效工作时间，该基地能根据培养目标要求和实践教学内容，校企合作共同制订实习计划和教学大纲，按进程精心编排教学设计并组织、管理教学过程。具体校外实训基地见以下一览表</w:t>
      </w:r>
      <w:bookmarkStart w:id="84" w:name="_Toc423458271"/>
      <w:bookmarkStart w:id="85" w:name="_Toc421211167"/>
      <w:r>
        <w:rPr>
          <w:rFonts w:hint="eastAsia" w:ascii="宋体" w:hAnsi="宋体" w:eastAsia="宋体" w:cs="宋体"/>
          <w:sz w:val="24"/>
          <w:lang w:val="en-US" w:eastAsia="zh-CN"/>
        </w:rPr>
        <w:t>：</w:t>
      </w:r>
    </w:p>
    <w:tbl>
      <w:tblPr>
        <w:tblStyle w:val="2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841"/>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blHeader/>
          <w:jc w:val="center"/>
        </w:trPr>
        <w:tc>
          <w:tcPr>
            <w:tcW w:w="699" w:type="dxa"/>
            <w:vAlign w:val="center"/>
          </w:tcPr>
          <w:p>
            <w:pPr>
              <w:spacing w:line="460" w:lineRule="exact"/>
              <w:rPr>
                <w:rFonts w:hint="eastAsia" w:ascii="宋体" w:hAnsi="宋体" w:eastAsia="宋体" w:cs="宋体"/>
                <w:sz w:val="24"/>
                <w:lang w:val="zh-TW" w:eastAsia="en-US"/>
              </w:rPr>
            </w:pPr>
            <w:r>
              <w:rPr>
                <w:rFonts w:hint="eastAsia" w:ascii="宋体" w:hAnsi="宋体" w:eastAsia="宋体" w:cs="宋体"/>
                <w:sz w:val="24"/>
                <w:lang w:val="zh-TW" w:eastAsia="zh-TW"/>
              </w:rPr>
              <w:t>序号</w:t>
            </w:r>
          </w:p>
        </w:tc>
        <w:tc>
          <w:tcPr>
            <w:tcW w:w="3841" w:type="dxa"/>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校外实训基地所在企业名称</w:t>
            </w:r>
          </w:p>
        </w:tc>
        <w:tc>
          <w:tcPr>
            <w:tcW w:w="4099" w:type="dxa"/>
            <w:vAlign w:val="center"/>
          </w:tcPr>
          <w:p>
            <w:pPr>
              <w:spacing w:line="460" w:lineRule="exact"/>
              <w:rPr>
                <w:rFonts w:hint="eastAsia" w:ascii="宋体" w:hAnsi="宋体" w:eastAsia="宋体" w:cs="宋体"/>
                <w:sz w:val="24"/>
                <w:lang w:val="zh-TW" w:eastAsia="en-US"/>
              </w:rPr>
            </w:pPr>
            <w:r>
              <w:rPr>
                <w:rFonts w:hint="eastAsia" w:ascii="宋体" w:hAnsi="宋体" w:eastAsia="宋体" w:cs="宋体"/>
                <w:sz w:val="24"/>
                <w:lang w:val="zh-TW" w:eastAsia="zh-TW"/>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pacing w:line="460" w:lineRule="exact"/>
              <w:rPr>
                <w:rFonts w:hint="eastAsia" w:ascii="宋体" w:hAnsi="宋体" w:eastAsia="宋体" w:cs="宋体"/>
                <w:sz w:val="24"/>
                <w:lang w:val="zh-TW" w:eastAsia="en-US"/>
              </w:rPr>
            </w:pPr>
            <w:r>
              <w:rPr>
                <w:rFonts w:hint="eastAsia" w:ascii="宋体" w:hAnsi="宋体" w:eastAsia="宋体" w:cs="宋体"/>
                <w:sz w:val="24"/>
                <w:lang w:val="zh-TW" w:eastAsia="zh-TW"/>
              </w:rPr>
              <w:t>1</w:t>
            </w:r>
          </w:p>
        </w:tc>
        <w:tc>
          <w:tcPr>
            <w:tcW w:w="3841" w:type="dxa"/>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阳江市金彭服饰实业有限公司</w:t>
            </w:r>
          </w:p>
        </w:tc>
        <w:tc>
          <w:tcPr>
            <w:tcW w:w="4099" w:type="dxa"/>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阳江高新区福冈工业园三期站港公路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pacing w:line="460" w:lineRule="exact"/>
              <w:rPr>
                <w:rFonts w:hint="eastAsia" w:ascii="宋体" w:hAnsi="宋体" w:eastAsia="宋体" w:cs="宋体"/>
                <w:sz w:val="24"/>
                <w:lang w:val="zh-TW" w:eastAsia="en-US"/>
              </w:rPr>
            </w:pPr>
            <w:r>
              <w:rPr>
                <w:rFonts w:hint="eastAsia" w:ascii="宋体" w:hAnsi="宋体" w:eastAsia="宋体" w:cs="宋体"/>
                <w:sz w:val="24"/>
                <w:lang w:val="zh-TW" w:eastAsia="zh-TW"/>
              </w:rPr>
              <w:t>2</w:t>
            </w:r>
          </w:p>
        </w:tc>
        <w:tc>
          <w:tcPr>
            <w:tcW w:w="3841" w:type="dxa"/>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阳江市金宝服饰有限公司</w:t>
            </w:r>
          </w:p>
        </w:tc>
        <w:tc>
          <w:tcPr>
            <w:tcW w:w="4099" w:type="dxa"/>
            <w:vAlign w:val="center"/>
          </w:tcPr>
          <w:p>
            <w:pPr>
              <w:spacing w:line="460" w:lineRule="exact"/>
              <w:rPr>
                <w:rFonts w:hint="eastAsia" w:ascii="宋体" w:hAnsi="宋体" w:eastAsia="宋体" w:cs="宋体"/>
                <w:sz w:val="24"/>
                <w:lang w:val="en-US" w:eastAsia="en-US"/>
              </w:rPr>
            </w:pPr>
            <w:r>
              <w:rPr>
                <w:rFonts w:hint="eastAsia" w:ascii="宋体" w:hAnsi="宋体" w:eastAsia="宋体" w:cs="宋体"/>
                <w:sz w:val="24"/>
                <w:lang w:val="en-US" w:eastAsia="zh-CN"/>
              </w:rPr>
              <w:t>阳江 阳江市东风二路东怡花园9号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3</w:t>
            </w:r>
          </w:p>
        </w:tc>
        <w:tc>
          <w:tcPr>
            <w:tcW w:w="3841" w:type="dxa"/>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阳江市江城区金马百莲凯美容中心</w:t>
            </w:r>
          </w:p>
        </w:tc>
        <w:tc>
          <w:tcPr>
            <w:tcW w:w="4099" w:type="dxa"/>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阳江江城区百莲凯16号一、二楼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9" w:type="dxa"/>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4</w:t>
            </w:r>
          </w:p>
        </w:tc>
        <w:tc>
          <w:tcPr>
            <w:tcW w:w="3841" w:type="dxa"/>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阳江市江城区星魅力化妆培训中心</w:t>
            </w:r>
          </w:p>
        </w:tc>
        <w:tc>
          <w:tcPr>
            <w:tcW w:w="4099" w:type="dxa"/>
            <w:vAlign w:val="center"/>
          </w:tcPr>
          <w:p>
            <w:pPr>
              <w:spacing w:line="460" w:lineRule="exact"/>
              <w:rPr>
                <w:rFonts w:hint="eastAsia" w:ascii="宋体" w:hAnsi="宋体" w:eastAsia="宋体" w:cs="宋体"/>
                <w:sz w:val="24"/>
                <w:lang w:val="en-US" w:eastAsia="zh-CN"/>
              </w:rPr>
            </w:pPr>
            <w:r>
              <w:rPr>
                <w:rFonts w:hint="eastAsia" w:ascii="宋体" w:hAnsi="宋体" w:eastAsia="宋体" w:cs="宋体"/>
                <w:sz w:val="24"/>
                <w:lang w:val="en-US" w:eastAsia="zh-CN"/>
              </w:rPr>
              <w:t>阳江市江城区江朗大道艺展国际</w:t>
            </w:r>
          </w:p>
        </w:tc>
      </w:tr>
      <w:bookmarkEnd w:id="84"/>
      <w:bookmarkEnd w:id="85"/>
    </w:tbl>
    <w:p>
      <w:pPr>
        <w:pStyle w:val="2"/>
        <w:jc w:val="both"/>
      </w:pPr>
      <w:bookmarkStart w:id="86" w:name="_Toc14465"/>
      <w:bookmarkStart w:id="87" w:name="_Toc25880"/>
      <w:bookmarkStart w:id="88" w:name="_Toc17807"/>
      <w:bookmarkStart w:id="89" w:name="_Toc25610"/>
      <w:bookmarkStart w:id="90" w:name="_Toc21561"/>
      <w:r>
        <w:rPr>
          <w:rFonts w:hint="eastAsia" w:eastAsia="黑体"/>
          <w:b w:val="0"/>
          <w:bCs/>
          <w:kern w:val="44"/>
          <w:sz w:val="30"/>
          <w:lang w:val="en-US" w:eastAsia="zh-CN"/>
        </w:rPr>
        <w:t>高职阶段</w:t>
      </w:r>
    </w:p>
    <w:p>
      <w:pPr>
        <w:spacing w:line="440" w:lineRule="exact"/>
        <w:ind w:left="420" w:leftChars="200"/>
        <w:outlineLvl w:val="2"/>
        <w:rPr>
          <w:rFonts w:hint="eastAsia" w:ascii="宋体" w:hAnsi="宋体" w:eastAsia="宋体" w:cs="宋体"/>
          <w:b/>
          <w:sz w:val="24"/>
          <w:lang w:bidi="ar"/>
        </w:rPr>
      </w:pPr>
      <w:r>
        <w:rPr>
          <w:rFonts w:hint="eastAsia" w:ascii="宋体" w:hAnsi="宋体" w:eastAsia="宋体" w:cs="宋体"/>
          <w:b/>
          <w:sz w:val="24"/>
          <w:lang w:bidi="ar"/>
        </w:rPr>
        <w:t>1.校内实训基地</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服装与服饰设计专业实训室包括服装制作实训室，形象设计实训室，服装配饰实训室3间；专业工作室包括绣色工作室，服装搭配工作室，服装设计工作室，服装制版工作室4间。</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表：服装与服饰设计专业实训基地/专业工作室配置和条件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59"/>
        <w:gridCol w:w="382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7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序号</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实训室名称</w:t>
            </w:r>
          </w:p>
        </w:tc>
        <w:tc>
          <w:tcPr>
            <w:tcW w:w="382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承担实训课程</w:t>
            </w:r>
          </w:p>
        </w:tc>
        <w:tc>
          <w:tcPr>
            <w:tcW w:w="22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主要设备名称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1</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服装制作实训室</w:t>
            </w:r>
          </w:p>
        </w:tc>
        <w:tc>
          <w:tcPr>
            <w:tcW w:w="382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1.服装工艺与制作</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2.成衣立体造型</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3.工作室课程</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4.毕业设计</w:t>
            </w:r>
          </w:p>
        </w:tc>
        <w:tc>
          <w:tcPr>
            <w:tcW w:w="226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工业制衣缝纫机、吊瓶蒸汽熨斗、多功能工作台、人台模特等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2</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形象设计实训室</w:t>
            </w:r>
          </w:p>
        </w:tc>
        <w:tc>
          <w:tcPr>
            <w:tcW w:w="382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基础化妆</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发艺造型设计</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3 工作室课程</w:t>
            </w:r>
          </w:p>
        </w:tc>
        <w:tc>
          <w:tcPr>
            <w:tcW w:w="226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 xml:space="preserve">专业工作台、专业座椅、卷发器、吹风机、   </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假发道具、基础化妆工具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3</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服装配饰实训室</w:t>
            </w:r>
          </w:p>
        </w:tc>
        <w:tc>
          <w:tcPr>
            <w:tcW w:w="382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服装配饰设计</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工作室课程</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毕业设计</w:t>
            </w:r>
          </w:p>
        </w:tc>
        <w:tc>
          <w:tcPr>
            <w:tcW w:w="226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皮具成型设备、冲裁设备、缝制设备、检测设备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序号</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工作室名称</w:t>
            </w:r>
          </w:p>
        </w:tc>
        <w:tc>
          <w:tcPr>
            <w:tcW w:w="3828" w:type="dxa"/>
            <w:noWrap w:val="0"/>
            <w:vAlign w:val="top"/>
          </w:tcPr>
          <w:p>
            <w:pPr>
              <w:spacing w:line="460" w:lineRule="exact"/>
              <w:rPr>
                <w:rFonts w:hint="eastAsia" w:ascii="宋体" w:hAnsi="宋体" w:eastAsia="宋体" w:cs="宋体"/>
                <w:sz w:val="24"/>
                <w:lang w:val="zh-TW" w:eastAsia="zh-TW"/>
              </w:rPr>
            </w:pP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教学功能</w:t>
            </w:r>
          </w:p>
          <w:p>
            <w:pPr>
              <w:spacing w:line="460" w:lineRule="exact"/>
              <w:rPr>
                <w:rFonts w:hint="eastAsia" w:ascii="宋体" w:hAnsi="宋体" w:eastAsia="宋体" w:cs="宋体"/>
                <w:sz w:val="24"/>
                <w:lang w:val="zh-TW" w:eastAsia="zh-TW"/>
              </w:rPr>
            </w:pPr>
          </w:p>
        </w:tc>
        <w:tc>
          <w:tcPr>
            <w:tcW w:w="2268" w:type="dxa"/>
            <w:noWrap w:val="0"/>
            <w:vAlign w:val="top"/>
          </w:tcPr>
          <w:p>
            <w:pPr>
              <w:spacing w:line="460" w:lineRule="exact"/>
              <w:rPr>
                <w:rFonts w:hint="eastAsia" w:ascii="宋体" w:hAnsi="宋体" w:eastAsia="宋体" w:cs="宋体"/>
                <w:sz w:val="24"/>
                <w:lang w:val="zh-TW" w:eastAsia="zh-TW"/>
              </w:rPr>
            </w:pP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主要设备名称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1</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绣色工作室</w:t>
            </w:r>
          </w:p>
        </w:tc>
        <w:tc>
          <w:tcPr>
            <w:tcW w:w="382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承担工作室手工刺绣、植物扎染教学</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承担工作室专题与项目产品开发教学</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承担对外培训任务</w:t>
            </w:r>
          </w:p>
        </w:tc>
        <w:tc>
          <w:tcPr>
            <w:tcW w:w="226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电脑， 投影，手工刺绣绣架，扎染蜡染型染工具，工业制衣缝纫机，人台模特等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2</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服装搭配工作室</w:t>
            </w:r>
          </w:p>
        </w:tc>
        <w:tc>
          <w:tcPr>
            <w:tcW w:w="382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承担工作室服装搭配设计教学</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2. 承担工作室帽饰设计教学</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3  承担对外培训任务</w:t>
            </w:r>
          </w:p>
        </w:tc>
        <w:tc>
          <w:tcPr>
            <w:tcW w:w="226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电脑， 投影，展示架，人台模特等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3</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服装设计工作室</w:t>
            </w:r>
          </w:p>
        </w:tc>
        <w:tc>
          <w:tcPr>
            <w:tcW w:w="382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 xml:space="preserve"> 承担工作室服装成衣设计教学</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承担工作室专题与项目产品开发教学</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 xml:space="preserve"> 承担对外培训任务</w:t>
            </w:r>
          </w:p>
        </w:tc>
        <w:tc>
          <w:tcPr>
            <w:tcW w:w="226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电脑， 投影，展示架，人台模特等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8"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4</w:t>
            </w:r>
          </w:p>
        </w:tc>
        <w:tc>
          <w:tcPr>
            <w:tcW w:w="1559" w:type="dxa"/>
            <w:noWrap w:val="0"/>
            <w:vAlign w:val="center"/>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服装制版工作室</w:t>
            </w:r>
          </w:p>
        </w:tc>
        <w:tc>
          <w:tcPr>
            <w:tcW w:w="382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承担工作室服装版型设计教学</w:t>
            </w:r>
          </w:p>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承担工作室专题与项目产品开发教学</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承担对外培训任务</w:t>
            </w:r>
          </w:p>
        </w:tc>
        <w:tc>
          <w:tcPr>
            <w:tcW w:w="2268" w:type="dxa"/>
            <w:noWrap w:val="0"/>
            <w:vAlign w:val="top"/>
          </w:tcPr>
          <w:p>
            <w:pPr>
              <w:spacing w:line="460" w:lineRule="exact"/>
              <w:rPr>
                <w:rFonts w:hint="eastAsia" w:ascii="宋体" w:hAnsi="宋体" w:eastAsia="宋体" w:cs="宋体"/>
                <w:sz w:val="24"/>
                <w:lang w:val="zh-TW" w:eastAsia="zh-TW"/>
              </w:rPr>
            </w:pPr>
            <w:r>
              <w:rPr>
                <w:rFonts w:hint="eastAsia" w:ascii="宋体" w:hAnsi="宋体" w:eastAsia="宋体" w:cs="宋体"/>
                <w:sz w:val="24"/>
                <w:lang w:val="zh-TW" w:eastAsia="zh-TW"/>
              </w:rPr>
              <w:t>电脑， 投影，裁剪台，熨烫台，工业熨斗，立裁模特等</w:t>
            </w:r>
          </w:p>
        </w:tc>
      </w:tr>
    </w:tbl>
    <w:p>
      <w:pPr>
        <w:spacing w:line="440" w:lineRule="exact"/>
        <w:ind w:left="420" w:leftChars="200"/>
        <w:outlineLvl w:val="2"/>
        <w:rPr>
          <w:rFonts w:hint="eastAsia" w:ascii="宋体" w:hAnsi="宋体" w:eastAsia="宋体" w:cs="宋体"/>
          <w:b/>
          <w:sz w:val="24"/>
          <w:lang w:bidi="ar"/>
        </w:rPr>
      </w:pPr>
      <w:r>
        <w:rPr>
          <w:rFonts w:hint="eastAsia" w:ascii="宋体" w:hAnsi="宋体" w:eastAsia="宋体" w:cs="宋体"/>
          <w:b/>
          <w:sz w:val="24"/>
          <w:lang w:bidi="ar"/>
        </w:rPr>
        <w:t>2、校外实训基地</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根据专业的需求，我们本着“不求多、但求精”的原则，通过与实训基地的深度融合，我们全面实现了在体现课程的应用部分实训项目，实现了企业经营和学校项目化实训的有机结合，真正实现了“以工促学、工学互助”，效果优秀。具体合作如下：</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(1)协议企业承接的设计工程为项目化课程教学提供了充足的资金和一流的实训场所；</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(2)协议企业为学校提供了行业内一流的技术师做实训教学兼职教师；</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(3)由主讲教师把关，让学生设计创意贴近生活，使得设计方案更加贴近市场。</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表：服装与服饰设计专业校外实训基地情况一览表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325"/>
        <w:gridCol w:w="1617"/>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580"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序号</w:t>
            </w:r>
          </w:p>
        </w:tc>
        <w:tc>
          <w:tcPr>
            <w:tcW w:w="23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基地名称</w:t>
            </w:r>
          </w:p>
        </w:tc>
        <w:tc>
          <w:tcPr>
            <w:tcW w:w="1617"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依托单位</w:t>
            </w:r>
          </w:p>
        </w:tc>
        <w:tc>
          <w:tcPr>
            <w:tcW w:w="35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主要实习实训项目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80" w:type="dxa"/>
            <w:noWrap w:val="0"/>
            <w:vAlign w:val="center"/>
          </w:tcPr>
          <w:p>
            <w:pPr>
              <w:numPr>
                <w:ilvl w:val="0"/>
                <w:numId w:val="0"/>
              </w:numPr>
              <w:spacing w:line="360" w:lineRule="auto"/>
              <w:ind w:leftChars="0"/>
              <w:rPr>
                <w:rFonts w:hint="eastAsia" w:ascii="仿宋_GB2312" w:hAnsi="Times New Roman" w:eastAsia="仿宋_GB2312" w:cs="Times New Roman"/>
                <w:sz w:val="24"/>
              </w:rPr>
            </w:pPr>
            <w:r>
              <w:rPr>
                <w:rFonts w:hint="eastAsia" w:ascii="仿宋_GB2312" w:hAnsi="Times New Roman" w:eastAsia="仿宋_GB2312" w:cs="Times New Roman"/>
                <w:sz w:val="24"/>
              </w:rPr>
              <w:t>1</w:t>
            </w:r>
          </w:p>
        </w:tc>
        <w:tc>
          <w:tcPr>
            <w:tcW w:w="23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广东文艺职业学院广州舍衣大学实训基地</w:t>
            </w:r>
          </w:p>
        </w:tc>
        <w:tc>
          <w:tcPr>
            <w:tcW w:w="1617"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广州舍衣服饰公司</w:t>
            </w:r>
          </w:p>
        </w:tc>
        <w:tc>
          <w:tcPr>
            <w:tcW w:w="35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服饰搭配设计实训、服装品牌推广实训、服装配饰设计综合实践、顶岗实习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80" w:type="dxa"/>
            <w:noWrap w:val="0"/>
            <w:vAlign w:val="center"/>
          </w:tcPr>
          <w:p>
            <w:pPr>
              <w:numPr>
                <w:ilvl w:val="0"/>
                <w:numId w:val="0"/>
              </w:numPr>
              <w:spacing w:line="360" w:lineRule="auto"/>
              <w:ind w:leftChars="0"/>
              <w:rPr>
                <w:rFonts w:hint="eastAsia" w:ascii="仿宋_GB2312" w:hAnsi="Times New Roman" w:eastAsia="仿宋_GB2312" w:cs="Times New Roman"/>
                <w:sz w:val="24"/>
              </w:rPr>
            </w:pPr>
            <w:r>
              <w:rPr>
                <w:rFonts w:hint="eastAsia" w:ascii="仿宋_GB2312" w:hAnsi="Times New Roman" w:eastAsia="仿宋_GB2312" w:cs="Times New Roman"/>
                <w:sz w:val="24"/>
              </w:rPr>
              <w:t>2</w:t>
            </w:r>
          </w:p>
        </w:tc>
        <w:tc>
          <w:tcPr>
            <w:tcW w:w="23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广东文艺职业学院潮黛服饰实训基地</w:t>
            </w:r>
          </w:p>
        </w:tc>
        <w:tc>
          <w:tcPr>
            <w:tcW w:w="1617"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广州市潮黛服饰有限公司</w:t>
            </w:r>
          </w:p>
        </w:tc>
        <w:tc>
          <w:tcPr>
            <w:tcW w:w="35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了解公司运作、服饰材料与箱包结构、服饰设计综合实践、顶岗实习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80" w:type="dxa"/>
            <w:noWrap w:val="0"/>
            <w:vAlign w:val="center"/>
          </w:tcPr>
          <w:p>
            <w:pPr>
              <w:numPr>
                <w:ilvl w:val="0"/>
                <w:numId w:val="0"/>
              </w:numPr>
              <w:spacing w:line="360" w:lineRule="auto"/>
              <w:ind w:leftChars="0"/>
              <w:rPr>
                <w:rFonts w:hint="eastAsia" w:ascii="仿宋_GB2312" w:hAnsi="Times New Roman" w:eastAsia="仿宋_GB2312" w:cs="Times New Roman"/>
                <w:sz w:val="24"/>
              </w:rPr>
            </w:pPr>
            <w:r>
              <w:rPr>
                <w:rFonts w:hint="eastAsia" w:ascii="仿宋_GB2312" w:hAnsi="Times New Roman" w:eastAsia="仿宋_GB2312" w:cs="Times New Roman"/>
                <w:sz w:val="24"/>
              </w:rPr>
              <w:t>3</w:t>
            </w:r>
          </w:p>
        </w:tc>
        <w:tc>
          <w:tcPr>
            <w:tcW w:w="23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广东文艺职业学院弘意服装实训基地</w:t>
            </w:r>
          </w:p>
        </w:tc>
        <w:tc>
          <w:tcPr>
            <w:tcW w:w="1617" w:type="dxa"/>
            <w:noWrap w:val="0"/>
            <w:vAlign w:val="center"/>
          </w:tcPr>
          <w:p>
            <w:pPr>
              <w:spacing w:line="460" w:lineRule="exact"/>
              <w:ind w:firstLine="480" w:firstLineChars="200"/>
              <w:rPr>
                <w:rFonts w:hint="eastAsia" w:ascii="宋体" w:hAnsi="宋体" w:eastAsia="宋体" w:cs="宋体"/>
                <w:sz w:val="24"/>
                <w:lang w:val="zh-TW" w:eastAsia="zh-CN"/>
              </w:rPr>
            </w:pPr>
            <w:r>
              <w:rPr>
                <w:rFonts w:hint="eastAsia" w:ascii="宋体" w:hAnsi="宋体" w:eastAsia="宋体" w:cs="宋体"/>
                <w:sz w:val="24"/>
                <w:lang w:val="zh-TW" w:eastAsia="zh-TW"/>
              </w:rPr>
              <w:t>广州市弘意服装有限</w:t>
            </w:r>
            <w:r>
              <w:rPr>
                <w:rFonts w:hint="eastAsia" w:ascii="宋体" w:hAnsi="宋体" w:eastAsia="宋体" w:cs="宋体"/>
                <w:sz w:val="24"/>
                <w:lang w:val="zh-TW" w:eastAsia="zh-CN"/>
              </w:rPr>
              <w:t>公司</w:t>
            </w:r>
          </w:p>
        </w:tc>
        <w:tc>
          <w:tcPr>
            <w:tcW w:w="3525" w:type="dxa"/>
            <w:noWrap w:val="0"/>
            <w:vAlign w:val="center"/>
          </w:tcPr>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服装设计项目实训、服装工艺制版项目实训、了解服装工艺流程、服装设计综合实践</w:t>
            </w:r>
          </w:p>
        </w:tc>
      </w:tr>
    </w:tbl>
    <w:p>
      <w:pPr>
        <w:pStyle w:val="4"/>
        <w:spacing w:before="93" w:after="93"/>
        <w:rPr>
          <w:rFonts w:hint="eastAsia"/>
        </w:rPr>
      </w:pPr>
    </w:p>
    <w:p>
      <w:pPr>
        <w:pStyle w:val="4"/>
        <w:spacing w:before="93" w:after="93"/>
        <w:ind w:firstLine="561"/>
      </w:pPr>
      <w:r>
        <w:rPr>
          <w:rFonts w:hint="eastAsia"/>
        </w:rPr>
        <w:t>（三）教学资源</w:t>
      </w:r>
      <w:bookmarkEnd w:id="86"/>
      <w:bookmarkEnd w:id="87"/>
      <w:bookmarkEnd w:id="88"/>
      <w:bookmarkEnd w:id="89"/>
      <w:bookmarkEnd w:id="90"/>
    </w:p>
    <w:p>
      <w:pPr>
        <w:spacing w:line="460" w:lineRule="exact"/>
        <w:ind w:firstLine="480" w:firstLineChars="200"/>
        <w:rPr>
          <w:rFonts w:hint="eastAsia" w:ascii="宋体" w:hAnsi="宋体" w:eastAsia="宋体" w:cs="宋体"/>
          <w:sz w:val="24"/>
          <w:lang w:val="zh-TW" w:eastAsia="zh-TW"/>
        </w:rPr>
      </w:pPr>
      <w:bookmarkStart w:id="91" w:name="_Toc404"/>
      <w:bookmarkStart w:id="92" w:name="_Toc31772"/>
      <w:bookmarkStart w:id="93" w:name="_Toc24185"/>
      <w:bookmarkStart w:id="94" w:name="_Toc9715"/>
      <w:r>
        <w:rPr>
          <w:rFonts w:hint="eastAsia" w:ascii="宋体" w:hAnsi="宋体" w:eastAsia="宋体" w:cs="宋体"/>
          <w:sz w:val="24"/>
          <w:lang w:val="zh-TW" w:eastAsia="zh-TW"/>
        </w:rPr>
        <w:t>教学资源主要包括能够满足学生专业（群）学习、教师专业教学研究和教学实施需求的教材、图书及数字化资源等。</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1.教材选用</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2.图书文献配备</w:t>
      </w:r>
    </w:p>
    <w:p>
      <w:pPr>
        <w:spacing w:line="460" w:lineRule="exact"/>
        <w:ind w:firstLine="480" w:firstLineChars="200"/>
        <w:rPr>
          <w:rFonts w:hint="eastAsia" w:ascii="宋体" w:hAnsi="宋体" w:eastAsia="宋体" w:cs="宋体"/>
          <w:sz w:val="24"/>
          <w:lang w:val="zh-TW" w:eastAsia="zh-TW"/>
        </w:rPr>
      </w:pPr>
      <w:r>
        <w:rPr>
          <w:rFonts w:hint="eastAsia" w:ascii="宋体" w:hAnsi="宋体" w:eastAsia="宋体" w:cs="宋体"/>
          <w:sz w:val="24"/>
          <w:lang w:val="zh-TW" w:eastAsia="zh-TW"/>
        </w:rPr>
        <w:t>图书资料配备要求中职汽车运用与维修专业相关图书文献配备，应能满足人才培养、专业建设、教科研等工作的需要，方便师生查询、借阅，且定期更新。专业类图书文献主要包括电商行业等相关的图书文献。</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3.数字教学资源配置</w:t>
      </w:r>
    </w:p>
    <w:p>
      <w:pPr>
        <w:spacing w:line="460" w:lineRule="exact"/>
        <w:ind w:firstLine="480" w:firstLineChars="200"/>
        <w:rPr>
          <w:rFonts w:hint="eastAsia" w:ascii="宋体" w:hAnsi="宋体" w:eastAsia="宋体" w:cs="宋体"/>
          <w:sz w:val="24"/>
          <w:lang w:val="en-US" w:eastAsia="zh-CN"/>
        </w:rPr>
      </w:pPr>
      <w:bookmarkStart w:id="95" w:name="_Toc21147"/>
      <w:r>
        <w:rPr>
          <w:rFonts w:hint="eastAsia" w:ascii="宋体" w:hAnsi="宋体" w:eastAsia="宋体" w:cs="宋体"/>
          <w:sz w:val="24"/>
          <w:lang w:val="zh-TW" w:eastAsia="zh-TW"/>
        </w:rPr>
        <w:t>学校与行业、企业共同建设共享型精品课程信息化教学资源。</w:t>
      </w:r>
      <w:r>
        <w:rPr>
          <w:rFonts w:hint="eastAsia" w:ascii="宋体" w:hAnsi="宋体" w:eastAsia="宋体" w:cs="宋体"/>
          <w:sz w:val="24"/>
          <w:lang w:val="en-US" w:eastAsia="zh-CN"/>
        </w:rPr>
        <w:t>配备与本专业有关的音视频素材、教学课件、数字化教学案例库、虚拟仿真软件、数字教材等专业教学资源库，种类丰富、形式多样、使用便捷、动态更新、满足教学。</w:t>
      </w:r>
      <w:bookmarkEnd w:id="95"/>
    </w:p>
    <w:p>
      <w:pPr>
        <w:pStyle w:val="4"/>
        <w:spacing w:before="93" w:after="93"/>
        <w:ind w:firstLine="561"/>
      </w:pPr>
      <w:bookmarkStart w:id="96" w:name="_Toc26072"/>
      <w:r>
        <w:rPr>
          <w:rFonts w:hint="eastAsia"/>
        </w:rPr>
        <w:t>（四）教学实施</w:t>
      </w:r>
      <w:bookmarkEnd w:id="91"/>
      <w:bookmarkEnd w:id="92"/>
      <w:bookmarkEnd w:id="93"/>
      <w:bookmarkEnd w:id="94"/>
      <w:bookmarkEnd w:id="96"/>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pPr>
        <w:spacing w:line="46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1.公共基础课</w:t>
      </w:r>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公共基础课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2.专业课程</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服装设计与工艺</w:t>
      </w:r>
      <w:r>
        <w:rPr>
          <w:rFonts w:hint="eastAsia" w:ascii="宋体" w:hAnsi="宋体" w:eastAsia="宋体" w:cs="宋体"/>
          <w:sz w:val="24"/>
        </w:rPr>
        <w:t>专业的核心课程的任务是培养学生掌握必要的相关专业知识，以及各个方向都需要的比较熟练的职业技能，提高学生就业创业能力和适应职业变化的能力。</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3.实践教学</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实践教学是专业技能课程教学的重要内容，是培养学生良好的职业道德，强化学生实践能力，提高综合职业能力的重要环节。坚持工学结合、校企合作，强化教学、学习、实训相融合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pPr>
        <w:pStyle w:val="4"/>
        <w:numPr>
          <w:ilvl w:val="0"/>
          <w:numId w:val="9"/>
        </w:numPr>
        <w:spacing w:before="93" w:after="93"/>
        <w:ind w:firstLine="561"/>
        <w:rPr>
          <w:rFonts w:hint="eastAsia"/>
        </w:rPr>
      </w:pPr>
      <w:bookmarkStart w:id="97" w:name="_Toc21367"/>
      <w:bookmarkStart w:id="98" w:name="_Toc11716"/>
      <w:bookmarkStart w:id="99" w:name="_Toc16334"/>
      <w:bookmarkStart w:id="100" w:name="_Toc31079"/>
      <w:bookmarkStart w:id="101" w:name="_Toc21723"/>
      <w:r>
        <w:rPr>
          <w:rFonts w:hint="eastAsia"/>
        </w:rPr>
        <w:t>学习评价</w:t>
      </w:r>
      <w:bookmarkEnd w:id="97"/>
      <w:bookmarkEnd w:id="98"/>
      <w:bookmarkEnd w:id="99"/>
      <w:bookmarkEnd w:id="100"/>
      <w:bookmarkEnd w:id="101"/>
    </w:p>
    <w:p>
      <w:pPr>
        <w:pStyle w:val="2"/>
        <w:jc w:val="both"/>
      </w:pPr>
      <w:r>
        <w:rPr>
          <w:rFonts w:hint="eastAsia" w:eastAsia="黑体"/>
          <w:b w:val="0"/>
          <w:bCs/>
          <w:kern w:val="44"/>
          <w:sz w:val="30"/>
          <w:lang w:val="en-US" w:eastAsia="zh-CN"/>
        </w:rPr>
        <w:t>中职阶段</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1.过程性考核</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2.结果性考核</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主要用于考核学生对课程知识的理解和掌握，通过期末考试或答辩等方式来进行考核评价。</w:t>
      </w:r>
    </w:p>
    <w:p>
      <w:pPr>
        <w:spacing w:line="460" w:lineRule="exact"/>
        <w:ind w:firstLine="480" w:firstLineChars="200"/>
        <w:rPr>
          <w:rFonts w:hint="eastAsia" w:ascii="宋体" w:hAnsi="宋体" w:eastAsia="宋体" w:cs="宋体"/>
          <w:sz w:val="24"/>
        </w:rPr>
      </w:pP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3.课程总体评价</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根据课程的目标与过程性考核评价成绩、终结性考核评价的相关程度，按比例计入课程期末成绩。</w:t>
      </w:r>
    </w:p>
    <w:p>
      <w:pPr>
        <w:keepNext/>
        <w:keepLines/>
        <w:spacing w:before="93" w:beforeLines="30" w:after="93" w:afterLines="30" w:line="460" w:lineRule="exact"/>
        <w:ind w:firstLine="482" w:firstLineChars="200"/>
        <w:outlineLvl w:val="2"/>
        <w:rPr>
          <w:rFonts w:ascii="宋体" w:hAnsi="宋体" w:eastAsia="宋体" w:cs="宋体"/>
          <w:b/>
          <w:sz w:val="24"/>
        </w:rPr>
      </w:pPr>
      <w:bookmarkStart w:id="102" w:name="_Toc437332779"/>
      <w:bookmarkStart w:id="103" w:name="_Toc421211163"/>
      <w:bookmarkStart w:id="104" w:name="_Toc423458267"/>
      <w:bookmarkStart w:id="105" w:name="_Toc438974536"/>
      <w:r>
        <w:rPr>
          <w:rFonts w:hint="eastAsia" w:ascii="宋体" w:hAnsi="宋体" w:eastAsia="宋体" w:cs="宋体"/>
          <w:b/>
          <w:sz w:val="24"/>
        </w:rPr>
        <w:t>4.岗位实习评价</w:t>
      </w:r>
      <w:bookmarkEnd w:id="102"/>
      <w:bookmarkEnd w:id="103"/>
      <w:bookmarkEnd w:id="104"/>
      <w:bookmarkEnd w:id="105"/>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成立由企业（兼职）指导教师、专业指导教师和辅导员（或班主任）组成的考核组，主要对学生在实习期间的劳动纪律、工作态度、团队合作精神、人际沟通能力、专业技术能力和任务完成等方面情况进行考核评价。</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职业素养及各科成绩合格，身体健康，无违纪违法行为，准予毕业。</w:t>
      </w:r>
    </w:p>
    <w:p>
      <w:pPr>
        <w:keepNext/>
        <w:keepLines/>
        <w:spacing w:before="93" w:beforeLines="30" w:after="93" w:afterLines="30" w:line="460" w:lineRule="exact"/>
        <w:ind w:firstLine="482" w:firstLineChars="200"/>
        <w:outlineLvl w:val="2"/>
        <w:rPr>
          <w:rFonts w:hint="eastAsia" w:ascii="宋体" w:hAnsi="宋体" w:eastAsia="宋体" w:cs="宋体"/>
          <w:b/>
          <w:sz w:val="24"/>
        </w:rPr>
      </w:pPr>
      <w:r>
        <w:rPr>
          <w:rFonts w:hint="eastAsia" w:ascii="宋体" w:hAnsi="宋体" w:eastAsia="宋体" w:cs="宋体"/>
          <w:b/>
          <w:sz w:val="24"/>
          <w:lang w:val="en-US" w:eastAsia="zh-CN"/>
        </w:rPr>
        <w:t>5.</w:t>
      </w:r>
      <w:r>
        <w:rPr>
          <w:rFonts w:hint="eastAsia" w:ascii="宋体" w:hAnsi="宋体" w:eastAsia="宋体" w:cs="宋体"/>
          <w:b/>
          <w:sz w:val="24"/>
        </w:rPr>
        <w:t>转段考试</w:t>
      </w:r>
    </w:p>
    <w:p>
      <w:pPr>
        <w:spacing w:line="46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转段考核课程依次为：</w:t>
      </w:r>
      <w:r>
        <w:rPr>
          <w:rFonts w:hint="eastAsia" w:ascii="宋体" w:hAnsi="宋体" w:eastAsia="宋体" w:cs="宋体"/>
          <w:sz w:val="24"/>
          <w:lang w:eastAsia="zh-CN"/>
        </w:rPr>
        <w:t>《服装结构制图》，《服装缝制工艺》、《服装美术基础》《计算机辅助设计（服装CAD）》、《语文》</w:t>
      </w:r>
      <w:r>
        <w:rPr>
          <w:rFonts w:hint="eastAsia" w:ascii="宋体" w:hAnsi="宋体" w:eastAsia="宋体" w:cs="宋体"/>
          <w:sz w:val="24"/>
        </w:rPr>
        <w:t>，所有的转段考核最迟在中职学段第四学期完成。</w:t>
      </w:r>
      <w:r>
        <w:rPr>
          <w:rFonts w:hint="eastAsia" w:ascii="宋体" w:hAnsi="宋体" w:eastAsia="宋体" w:cs="宋体"/>
          <w:sz w:val="24"/>
          <w:lang w:val="en-US" w:eastAsia="zh-CN"/>
        </w:rPr>
        <w:t>通过转段考核才能进入高职学段。</w:t>
      </w:r>
    </w:p>
    <w:p>
      <w:pPr>
        <w:pStyle w:val="2"/>
        <w:jc w:val="center"/>
      </w:pPr>
      <w:r>
        <w:rPr>
          <w:rFonts w:hint="eastAsia" w:eastAsia="黑体"/>
          <w:b w:val="0"/>
          <w:bCs/>
          <w:kern w:val="44"/>
          <w:sz w:val="30"/>
          <w:lang w:val="en-US" w:eastAsia="zh-CN"/>
        </w:rPr>
        <w:t>高职阶段</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为营造良好学习与教学环境，并处“以公平、公正、公开”为原则，充分利用多方资源进行教学评价：</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1.教师教学方面：</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（1）发挥学校督导作用，对教师教学文档资料定期进行检查，对存在问题给予及时反馈调整；</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（2）系部主任及教研室主任到课堂听课进行评教；</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（3）课程结束举办教学作品观摩，教师对教学效果开展互评；</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（4）通过网络系统，其他老师对任课老师进行评价。</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2.学生学习方面：</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（1）学生完成设计项目，由企业或甲方对项目作品进行评价；</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（2）任课教师根据项目设计过程，对学生作出项目综合评价；</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（3）项目作品完成并进行作业展示，开展学生互评活动，高年级对低年级进行评价，低年级对高年级进行评价等。</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3.其它评价方式：</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（1）学生项目作品参加国家级、省级、市级比赛获奖；</w:t>
      </w:r>
    </w:p>
    <w:p>
      <w:pPr>
        <w:spacing w:line="460" w:lineRule="exact"/>
        <w:ind w:firstLine="480" w:firstLineChars="200"/>
      </w:pPr>
      <w:r>
        <w:rPr>
          <w:rFonts w:hint="eastAsia" w:ascii="宋体" w:hAnsi="宋体" w:eastAsia="宋体" w:cs="宋体"/>
          <w:sz w:val="24"/>
          <w:lang w:eastAsia="zh-CN"/>
        </w:rPr>
        <w:t>（2）学习课程参加技能比赛获奖等；</w:t>
      </w:r>
    </w:p>
    <w:p>
      <w:pPr>
        <w:pStyle w:val="4"/>
        <w:spacing w:before="93" w:after="93"/>
        <w:ind w:firstLine="561"/>
      </w:pPr>
      <w:bookmarkStart w:id="106" w:name="_Toc2531"/>
      <w:bookmarkStart w:id="107" w:name="_Toc19132"/>
      <w:bookmarkStart w:id="108" w:name="_Toc11671"/>
      <w:bookmarkStart w:id="109" w:name="_Toc10744"/>
      <w:bookmarkStart w:id="110" w:name="_Toc23149"/>
      <w:r>
        <w:rPr>
          <w:rFonts w:hint="eastAsia"/>
        </w:rPr>
        <w:t>（六）质量管理</w:t>
      </w:r>
      <w:bookmarkEnd w:id="106"/>
      <w:bookmarkEnd w:id="107"/>
      <w:bookmarkEnd w:id="108"/>
      <w:bookmarkEnd w:id="109"/>
      <w:bookmarkEnd w:id="110"/>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1.教学策略</w:t>
      </w:r>
    </w:p>
    <w:p>
      <w:pPr>
        <w:spacing w:line="460" w:lineRule="exact"/>
        <w:ind w:firstLine="480" w:firstLineChars="200"/>
        <w:rPr>
          <w:rFonts w:ascii="宋体" w:hAnsi="宋体" w:eastAsia="宋体" w:cs="宋体"/>
          <w:sz w:val="24"/>
        </w:rPr>
      </w:pPr>
      <w:r>
        <w:rPr>
          <w:rFonts w:hint="eastAsia" w:ascii="宋体" w:hAnsi="宋体" w:eastAsia="宋体" w:cs="宋体"/>
          <w:sz w:val="24"/>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spacing w:line="460" w:lineRule="exact"/>
        <w:ind w:firstLine="480" w:firstLineChars="200"/>
        <w:rPr>
          <w:rFonts w:ascii="宋体" w:hAnsi="宋体" w:eastAsia="宋体" w:cs="宋体"/>
          <w:sz w:val="24"/>
        </w:rPr>
      </w:pPr>
      <w:r>
        <w:rPr>
          <w:rFonts w:hint="eastAsia" w:ascii="宋体" w:hAnsi="宋体" w:eastAsia="宋体" w:cs="宋体"/>
          <w:sz w:val="24"/>
        </w:rPr>
        <w:t>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pPr>
        <w:keepNext/>
        <w:keepLines/>
        <w:spacing w:before="93" w:beforeLines="30" w:after="93" w:afterLines="30" w:line="460" w:lineRule="exact"/>
        <w:ind w:firstLine="482" w:firstLineChars="200"/>
        <w:outlineLvl w:val="2"/>
        <w:rPr>
          <w:rFonts w:ascii="宋体" w:hAnsi="宋体" w:eastAsia="宋体" w:cs="宋体"/>
          <w:b/>
          <w:sz w:val="24"/>
        </w:rPr>
      </w:pPr>
      <w:r>
        <w:rPr>
          <w:rFonts w:hint="eastAsia" w:ascii="宋体" w:hAnsi="宋体" w:eastAsia="宋体" w:cs="宋体"/>
          <w:b/>
          <w:sz w:val="24"/>
        </w:rPr>
        <w:t>2.教学管理</w:t>
      </w:r>
    </w:p>
    <w:p>
      <w:pPr>
        <w:spacing w:line="460" w:lineRule="exact"/>
        <w:ind w:firstLine="480" w:firstLineChars="200"/>
        <w:rPr>
          <w:rFonts w:ascii="宋体" w:hAnsi="宋体" w:eastAsia="宋体" w:cs="宋体"/>
          <w:sz w:val="24"/>
        </w:rPr>
      </w:pPr>
      <w:bookmarkStart w:id="111" w:name="_Toc353"/>
      <w:bookmarkStart w:id="112" w:name="_Toc25268"/>
      <w:bookmarkStart w:id="113" w:name="_Toc20217"/>
      <w:r>
        <w:rPr>
          <w:rFonts w:hint="eastAsia" w:ascii="宋体" w:hAnsi="宋体" w:eastAsia="宋体" w:cs="宋体"/>
          <w:sz w:val="24"/>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pPr>
        <w:spacing w:line="460" w:lineRule="exact"/>
        <w:ind w:firstLine="480" w:firstLineChars="200"/>
        <w:rPr>
          <w:rFonts w:ascii="宋体" w:hAnsi="宋体" w:eastAsia="宋体" w:cs="宋体"/>
          <w:sz w:val="24"/>
        </w:rPr>
      </w:pPr>
      <w:r>
        <w:rPr>
          <w:rFonts w:hint="eastAsia" w:ascii="宋体" w:hAnsi="宋体" w:eastAsia="宋体" w:cs="宋体"/>
          <w:sz w:val="24"/>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pPr>
        <w:spacing w:line="460" w:lineRule="exact"/>
        <w:ind w:firstLine="480" w:firstLineChars="200"/>
        <w:rPr>
          <w:rFonts w:ascii="宋体" w:hAnsi="宋体" w:eastAsia="宋体" w:cs="宋体"/>
          <w:sz w:val="24"/>
        </w:rPr>
      </w:pPr>
      <w:r>
        <w:rPr>
          <w:rFonts w:hint="eastAsia" w:ascii="宋体" w:hAnsi="宋体" w:eastAsia="宋体" w:cs="宋体"/>
          <w:sz w:val="24"/>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pPr>
        <w:spacing w:line="460" w:lineRule="exact"/>
        <w:ind w:firstLine="480" w:firstLineChars="200"/>
        <w:rPr>
          <w:rFonts w:ascii="宋体" w:hAnsi="宋体" w:eastAsia="宋体" w:cs="宋体"/>
          <w:sz w:val="24"/>
        </w:rPr>
      </w:pPr>
      <w:r>
        <w:rPr>
          <w:rFonts w:hint="eastAsia" w:ascii="宋体" w:hAnsi="宋体" w:eastAsia="宋体" w:cs="宋体"/>
          <w:sz w:val="24"/>
        </w:rPr>
        <w:t>（4）建立学业管理与预警机制。将学生学分获取、劳动教育、第二课堂、技能达标等各方面情况纳入学生学业预警与违纪预警，促进学生自我管理、自我学习、自我提高。</w:t>
      </w:r>
    </w:p>
    <w:p>
      <w:pPr>
        <w:spacing w:line="460" w:lineRule="exact"/>
        <w:ind w:firstLine="480" w:firstLineChars="200"/>
        <w:rPr>
          <w:rFonts w:ascii="宋体" w:hAnsi="宋体" w:eastAsia="宋体" w:cs="宋体"/>
          <w:sz w:val="24"/>
        </w:rPr>
      </w:pPr>
      <w:r>
        <w:rPr>
          <w:rFonts w:hint="eastAsia" w:ascii="宋体" w:hAnsi="宋体" w:eastAsia="宋体" w:cs="宋体"/>
          <w:sz w:val="24"/>
        </w:rPr>
        <w:t>（5）建立毕业生跟踪反馈机制及社会评价机制。对生源情况、在校生学业水平、毕业生就业情况等进行对比分析，定期评价人才培养质量和培养目标达成情况。</w:t>
      </w:r>
    </w:p>
    <w:p>
      <w:pPr>
        <w:keepNext/>
        <w:keepLines/>
        <w:numPr>
          <w:ilvl w:val="0"/>
          <w:numId w:val="2"/>
        </w:numPr>
        <w:spacing w:before="93" w:beforeLines="30" w:after="93" w:afterLines="30" w:line="460" w:lineRule="exact"/>
        <w:ind w:firstLine="602" w:firstLineChars="200"/>
        <w:outlineLvl w:val="0"/>
        <w:rPr>
          <w:rFonts w:eastAsia="黑体"/>
          <w:b/>
          <w:kern w:val="44"/>
          <w:sz w:val="30"/>
        </w:rPr>
      </w:pPr>
      <w:bookmarkStart w:id="114" w:name="_Toc92"/>
      <w:r>
        <w:rPr>
          <w:rFonts w:hint="eastAsia" w:eastAsia="黑体"/>
          <w:b/>
          <w:kern w:val="44"/>
          <w:sz w:val="30"/>
        </w:rPr>
        <w:t>毕业要求</w:t>
      </w:r>
      <w:bookmarkEnd w:id="111"/>
      <w:bookmarkEnd w:id="112"/>
      <w:bookmarkEnd w:id="113"/>
      <w:bookmarkEnd w:id="114"/>
    </w:p>
    <w:p>
      <w:pPr>
        <w:spacing w:line="460" w:lineRule="exact"/>
        <w:ind w:firstLine="480" w:firstLineChars="200"/>
        <w:rPr>
          <w:rFonts w:ascii="宋体" w:hAnsi="宋体" w:eastAsia="宋体" w:cs="宋体"/>
          <w:sz w:val="24"/>
        </w:rPr>
      </w:pPr>
      <w:r>
        <w:rPr>
          <w:rFonts w:hint="eastAsia" w:ascii="宋体" w:hAnsi="宋体" w:eastAsia="宋体" w:cs="宋体"/>
          <w:sz w:val="24"/>
        </w:rPr>
        <w:t>学生通过规定年限的学习，须修满至少170学分，完成规定的教学活动，具备基本的科学文化素养，良好的职业道德，具备各专业关联等岗位工作。</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汉仪粗仿宋简">
    <w:altName w:val="宋体"/>
    <w:panose1 w:val="00000000000000000000"/>
    <w:charset w:val="86"/>
    <w:family w:val="auto"/>
    <w:pitch w:val="default"/>
    <w:sig w:usb0="00000000" w:usb1="00000000" w:usb2="00000012"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162BD"/>
    <w:multiLevelType w:val="singleLevel"/>
    <w:tmpl w:val="934162BD"/>
    <w:lvl w:ilvl="0" w:tentative="0">
      <w:start w:val="1"/>
      <w:numFmt w:val="decimal"/>
      <w:suff w:val="nothing"/>
      <w:lvlText w:val="%1、"/>
      <w:lvlJc w:val="left"/>
    </w:lvl>
  </w:abstractNum>
  <w:abstractNum w:abstractNumId="1">
    <w:nsid w:val="9B5D28D4"/>
    <w:multiLevelType w:val="multilevel"/>
    <w:tmpl w:val="9B5D28D4"/>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960" w:firstLine="0"/>
      </w:pPr>
      <w:rPr>
        <w:rFonts w:hint="eastAsia"/>
        <w:sz w:val="24"/>
        <w:szCs w:val="24"/>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B0A8CCBE"/>
    <w:multiLevelType w:val="singleLevel"/>
    <w:tmpl w:val="B0A8CCBE"/>
    <w:lvl w:ilvl="0" w:tentative="0">
      <w:start w:val="1"/>
      <w:numFmt w:val="chineseCounting"/>
      <w:suff w:val="nothing"/>
      <w:lvlText w:val="%1、"/>
      <w:lvlJc w:val="left"/>
      <w:rPr>
        <w:rFonts w:hint="eastAsia"/>
      </w:rPr>
    </w:lvl>
  </w:abstractNum>
  <w:abstractNum w:abstractNumId="3">
    <w:nsid w:val="C30A9A31"/>
    <w:multiLevelType w:val="singleLevel"/>
    <w:tmpl w:val="C30A9A31"/>
    <w:lvl w:ilvl="0" w:tentative="0">
      <w:start w:val="1"/>
      <w:numFmt w:val="chineseCounting"/>
      <w:suff w:val="nothing"/>
      <w:lvlText w:val="（%1）"/>
      <w:lvlJc w:val="left"/>
      <w:pPr>
        <w:ind w:left="0" w:firstLine="420"/>
      </w:pPr>
      <w:rPr>
        <w:rFonts w:hint="eastAsia"/>
      </w:rPr>
    </w:lvl>
  </w:abstractNum>
  <w:abstractNum w:abstractNumId="4">
    <w:nsid w:val="C405B2A6"/>
    <w:multiLevelType w:val="singleLevel"/>
    <w:tmpl w:val="C405B2A6"/>
    <w:lvl w:ilvl="0" w:tentative="0">
      <w:start w:val="1"/>
      <w:numFmt w:val="chineseCounting"/>
      <w:suff w:val="nothing"/>
      <w:lvlText w:val="（%1）"/>
      <w:lvlJc w:val="left"/>
      <w:pPr>
        <w:ind w:left="0" w:firstLine="420"/>
      </w:pPr>
      <w:rPr>
        <w:rFonts w:hint="eastAsia"/>
      </w:rPr>
    </w:lvl>
  </w:abstractNum>
  <w:abstractNum w:abstractNumId="5">
    <w:nsid w:val="121C53D5"/>
    <w:multiLevelType w:val="singleLevel"/>
    <w:tmpl w:val="121C53D5"/>
    <w:lvl w:ilvl="0" w:tentative="0">
      <w:start w:val="1"/>
      <w:numFmt w:val="decimal"/>
      <w:lvlText w:val="(%1)"/>
      <w:lvlJc w:val="left"/>
      <w:pPr>
        <w:ind w:left="425" w:hanging="425"/>
      </w:pPr>
      <w:rPr>
        <w:rFonts w:hint="default"/>
      </w:rPr>
    </w:lvl>
  </w:abstractNum>
  <w:abstractNum w:abstractNumId="6">
    <w:nsid w:val="1F86A040"/>
    <w:multiLevelType w:val="singleLevel"/>
    <w:tmpl w:val="1F86A040"/>
    <w:lvl w:ilvl="0" w:tentative="0">
      <w:start w:val="1"/>
      <w:numFmt w:val="chineseCounting"/>
      <w:suff w:val="nothing"/>
      <w:lvlText w:val="（%1）"/>
      <w:lvlJc w:val="left"/>
      <w:pPr>
        <w:ind w:left="0" w:firstLine="420"/>
      </w:pPr>
      <w:rPr>
        <w:rFonts w:hint="eastAsia"/>
      </w:rPr>
    </w:lvl>
  </w:abstractNum>
  <w:abstractNum w:abstractNumId="7">
    <w:nsid w:val="5D56EE4A"/>
    <w:multiLevelType w:val="singleLevel"/>
    <w:tmpl w:val="5D56EE4A"/>
    <w:lvl w:ilvl="0" w:tentative="0">
      <w:start w:val="5"/>
      <w:numFmt w:val="chineseCounting"/>
      <w:suff w:val="nothing"/>
      <w:lvlText w:val="（%1）"/>
      <w:lvlJc w:val="left"/>
      <w:rPr>
        <w:rFonts w:hint="eastAsia"/>
      </w:rPr>
    </w:lvl>
  </w:abstractNum>
  <w:abstractNum w:abstractNumId="8">
    <w:nsid w:val="63E711E2"/>
    <w:multiLevelType w:val="singleLevel"/>
    <w:tmpl w:val="63E711E2"/>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M2E0MDc1YTQzMWJhM2QyMzg4NTQ5YzQwMDdjOTUifQ=="/>
  </w:docVars>
  <w:rsids>
    <w:rsidRoot w:val="002B67D6"/>
    <w:rsid w:val="00194E65"/>
    <w:rsid w:val="002A30CC"/>
    <w:rsid w:val="002B67D6"/>
    <w:rsid w:val="00311A5F"/>
    <w:rsid w:val="004E7868"/>
    <w:rsid w:val="006B2CD3"/>
    <w:rsid w:val="009C004E"/>
    <w:rsid w:val="009E0AA4"/>
    <w:rsid w:val="00A61D4A"/>
    <w:rsid w:val="00B87135"/>
    <w:rsid w:val="00CD5D18"/>
    <w:rsid w:val="00F52463"/>
    <w:rsid w:val="02C2636E"/>
    <w:rsid w:val="04C4735A"/>
    <w:rsid w:val="04DF5ECB"/>
    <w:rsid w:val="05816FE5"/>
    <w:rsid w:val="06A26414"/>
    <w:rsid w:val="08AA16A2"/>
    <w:rsid w:val="0A110938"/>
    <w:rsid w:val="0AE968C2"/>
    <w:rsid w:val="0B802E96"/>
    <w:rsid w:val="0BF366DB"/>
    <w:rsid w:val="0D0F11F4"/>
    <w:rsid w:val="0E0E32B2"/>
    <w:rsid w:val="0FD7377E"/>
    <w:rsid w:val="0FD9172D"/>
    <w:rsid w:val="119A7465"/>
    <w:rsid w:val="1382483C"/>
    <w:rsid w:val="18D8734F"/>
    <w:rsid w:val="19690971"/>
    <w:rsid w:val="1B851185"/>
    <w:rsid w:val="1BBB6955"/>
    <w:rsid w:val="1D2642A2"/>
    <w:rsid w:val="211A2370"/>
    <w:rsid w:val="217557F8"/>
    <w:rsid w:val="231B25E2"/>
    <w:rsid w:val="25AE7098"/>
    <w:rsid w:val="25D64CC9"/>
    <w:rsid w:val="260F2545"/>
    <w:rsid w:val="285005F4"/>
    <w:rsid w:val="29E872DF"/>
    <w:rsid w:val="2A647F86"/>
    <w:rsid w:val="2ACE5C62"/>
    <w:rsid w:val="2B457FE9"/>
    <w:rsid w:val="2BB65EE6"/>
    <w:rsid w:val="2CD61610"/>
    <w:rsid w:val="2CF03F85"/>
    <w:rsid w:val="2FD162F0"/>
    <w:rsid w:val="30694209"/>
    <w:rsid w:val="35686F3D"/>
    <w:rsid w:val="36864E19"/>
    <w:rsid w:val="369E378C"/>
    <w:rsid w:val="37555A58"/>
    <w:rsid w:val="38A50B90"/>
    <w:rsid w:val="3A975299"/>
    <w:rsid w:val="3BA575C4"/>
    <w:rsid w:val="3EDD6E27"/>
    <w:rsid w:val="3F185CE9"/>
    <w:rsid w:val="3FD55595"/>
    <w:rsid w:val="43530F99"/>
    <w:rsid w:val="45991206"/>
    <w:rsid w:val="468307B0"/>
    <w:rsid w:val="47C85937"/>
    <w:rsid w:val="49963A5F"/>
    <w:rsid w:val="4B7A7AC4"/>
    <w:rsid w:val="4BB86731"/>
    <w:rsid w:val="4D8C4518"/>
    <w:rsid w:val="4DA5731D"/>
    <w:rsid w:val="4DAD3AA0"/>
    <w:rsid w:val="4E270132"/>
    <w:rsid w:val="529C6C41"/>
    <w:rsid w:val="566C2F51"/>
    <w:rsid w:val="56822878"/>
    <w:rsid w:val="579B4A54"/>
    <w:rsid w:val="58494A1C"/>
    <w:rsid w:val="588977DA"/>
    <w:rsid w:val="5AFA1187"/>
    <w:rsid w:val="5B2F72B9"/>
    <w:rsid w:val="5E0B5A6E"/>
    <w:rsid w:val="61371BA7"/>
    <w:rsid w:val="61C01D2D"/>
    <w:rsid w:val="63305992"/>
    <w:rsid w:val="66BD5E1B"/>
    <w:rsid w:val="68917132"/>
    <w:rsid w:val="692E23BD"/>
    <w:rsid w:val="6A3C5081"/>
    <w:rsid w:val="6C690F99"/>
    <w:rsid w:val="6D0A63C2"/>
    <w:rsid w:val="6ED67D08"/>
    <w:rsid w:val="70035C8E"/>
    <w:rsid w:val="716C2B37"/>
    <w:rsid w:val="73607A73"/>
    <w:rsid w:val="74DC0F51"/>
    <w:rsid w:val="76245C51"/>
    <w:rsid w:val="77347978"/>
    <w:rsid w:val="784853C9"/>
    <w:rsid w:val="78957C5C"/>
    <w:rsid w:val="7B2D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numPr>
        <w:ilvl w:val="0"/>
        <w:numId w:val="1"/>
      </w:numPr>
      <w:spacing w:before="30" w:beforeLines="30" w:after="30" w:afterLines="30" w:line="440" w:lineRule="exact"/>
      <w:ind w:firstLine="723" w:firstLineChars="200"/>
      <w:outlineLvl w:val="0"/>
    </w:pPr>
    <w:rPr>
      <w:rFonts w:ascii="Calibri" w:hAnsi="Calibri" w:eastAsia="宋体" w:cs="Times New Roman"/>
      <w:bCs/>
      <w:kern w:val="44"/>
      <w:sz w:val="30"/>
      <w:szCs w:val="44"/>
    </w:rPr>
  </w:style>
  <w:style w:type="paragraph" w:styleId="4">
    <w:name w:val="heading 2"/>
    <w:basedOn w:val="1"/>
    <w:next w:val="1"/>
    <w:unhideWhenUsed/>
    <w:qFormat/>
    <w:uiPriority w:val="0"/>
    <w:pPr>
      <w:keepNext/>
      <w:keepLines/>
      <w:spacing w:before="30" w:beforeLines="30" w:after="30" w:afterLines="30" w:line="460" w:lineRule="exact"/>
      <w:ind w:firstLine="720" w:firstLineChars="200"/>
      <w:outlineLvl w:val="1"/>
    </w:pPr>
    <w:rPr>
      <w:rFonts w:ascii="Arial" w:hAnsi="Arial" w:eastAsia="华文楷体"/>
      <w:b/>
      <w:sz w:val="28"/>
    </w:rPr>
  </w:style>
  <w:style w:type="paragraph" w:styleId="5">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kern w:val="0"/>
      <w:sz w:val="20"/>
    </w:rPr>
  </w:style>
  <w:style w:type="paragraph" w:styleId="11">
    <w:name w:val="caption"/>
    <w:basedOn w:val="1"/>
    <w:next w:val="1"/>
    <w:unhideWhenUsed/>
    <w:qFormat/>
    <w:uiPriority w:val="0"/>
    <w:pPr>
      <w:jc w:val="center"/>
    </w:pPr>
    <w:rPr>
      <w:rFonts w:ascii="Arial" w:hAnsi="Arial" w:eastAsia="黑体"/>
      <w:sz w:val="20"/>
    </w:rPr>
  </w:style>
  <w:style w:type="paragraph" w:styleId="12">
    <w:name w:val="annotation text"/>
    <w:basedOn w:val="1"/>
    <w:unhideWhenUsed/>
    <w:qFormat/>
    <w:uiPriority w:val="99"/>
    <w:pPr>
      <w:jc w:val="left"/>
    </w:pPr>
  </w:style>
  <w:style w:type="paragraph" w:styleId="13">
    <w:name w:val="Body Text"/>
    <w:basedOn w:val="1"/>
    <w:unhideWhenUsed/>
    <w:qFormat/>
    <w:uiPriority w:val="0"/>
    <w:pPr>
      <w:spacing w:after="120"/>
    </w:pPr>
    <w:rPr>
      <w:sz w:val="32"/>
    </w:rPr>
  </w:style>
  <w:style w:type="paragraph" w:styleId="14">
    <w:name w:val="Body Text Indent"/>
    <w:basedOn w:val="1"/>
    <w:semiHidden/>
    <w:unhideWhenUsed/>
    <w:qFormat/>
    <w:uiPriority w:val="0"/>
    <w:pPr>
      <w:spacing w:after="120"/>
      <w:ind w:left="420" w:leftChars="200"/>
    </w:pPr>
    <w:rPr>
      <w:sz w:val="24"/>
    </w:rPr>
  </w:style>
  <w:style w:type="paragraph" w:styleId="15">
    <w:name w:val="Body Text Indent 2"/>
    <w:qFormat/>
    <w:uiPriority w:val="0"/>
    <w:pPr>
      <w:widowControl w:val="0"/>
      <w:ind w:firstLine="560"/>
      <w:jc w:val="both"/>
    </w:pPr>
    <w:rPr>
      <w:rFonts w:ascii="Calibri" w:hAnsi="Calibri" w:eastAsia="汉仪粗仿宋简" w:cs="黑体"/>
      <w:kern w:val="2"/>
      <w:sz w:val="28"/>
      <w:szCs w:val="28"/>
      <w:lang w:val="en-US" w:eastAsia="zh-CN" w:bidi="ar-SA"/>
    </w:rPr>
  </w:style>
  <w:style w:type="paragraph" w:styleId="16">
    <w:name w:val="Balloon Text"/>
    <w:basedOn w:val="1"/>
    <w:link w:val="30"/>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First Indent"/>
    <w:basedOn w:val="13"/>
    <w:unhideWhenUsed/>
    <w:qFormat/>
    <w:uiPriority w:val="99"/>
    <w:pPr>
      <w:spacing w:before="30" w:beforeLines="30" w:line="460" w:lineRule="atLeast"/>
      <w:ind w:firstLine="420" w:firstLineChars="100"/>
    </w:pPr>
    <w:rPr>
      <w:rFonts w:eastAsia="宋体"/>
      <w:sz w:val="24"/>
      <w:szCs w:val="22"/>
    </w:rPr>
  </w:style>
  <w:style w:type="paragraph" w:styleId="20">
    <w:name w:val="Body Text First Indent 2"/>
    <w:basedOn w:val="14"/>
    <w:next w:val="13"/>
    <w:unhideWhenUsed/>
    <w:qFormat/>
    <w:uiPriority w:val="0"/>
    <w:pPr>
      <w:spacing w:beforeLines="30" w:after="0" w:afterLines="30" w:line="200" w:lineRule="exact"/>
      <w:ind w:firstLine="420" w:firstLineChars="200"/>
    </w:pPr>
    <w:rPr>
      <w:rFonts w:ascii="宋体"/>
      <w:spacing w:val="-4"/>
      <w:kern w:val="0"/>
      <w:szCs w:val="20"/>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标题 1 Char"/>
    <w:basedOn w:val="23"/>
    <w:link w:val="3"/>
    <w:qFormat/>
    <w:uiPriority w:val="9"/>
    <w:rPr>
      <w:rFonts w:ascii="Calibri" w:hAnsi="Calibri" w:eastAsia="宋体" w:cs="Times New Roman"/>
      <w:bCs/>
      <w:kern w:val="44"/>
      <w:sz w:val="28"/>
      <w:szCs w:val="44"/>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7">
    <w:name w:val="_Style 3"/>
    <w:qFormat/>
    <w:uiPriority w:val="0"/>
    <w:pPr>
      <w:widowControl w:val="0"/>
      <w:spacing w:line="440" w:lineRule="exact"/>
      <w:ind w:firstLine="420" w:firstLineChars="200"/>
      <w:jc w:val="both"/>
    </w:pPr>
    <w:rPr>
      <w:rFonts w:ascii="Calibri" w:hAnsi="Calibri" w:eastAsia="宋体" w:cs="Times New Roman"/>
      <w:kern w:val="2"/>
      <w:szCs w:val="24"/>
      <w:lang w:val="en-US" w:eastAsia="zh-CN" w:bidi="ar-SA"/>
    </w:rPr>
  </w:style>
  <w:style w:type="character" w:customStyle="1" w:styleId="28">
    <w:name w:val="font31"/>
    <w:basedOn w:val="23"/>
    <w:qFormat/>
    <w:uiPriority w:val="0"/>
    <w:rPr>
      <w:rFonts w:hint="eastAsia" w:ascii="宋体" w:hAnsi="宋体" w:eastAsia="宋体" w:cs="宋体"/>
      <w:color w:val="000000"/>
      <w:sz w:val="22"/>
      <w:szCs w:val="22"/>
      <w:u w:val="none"/>
    </w:rPr>
  </w:style>
  <w:style w:type="character" w:customStyle="1" w:styleId="29">
    <w:name w:val="font81"/>
    <w:basedOn w:val="23"/>
    <w:qFormat/>
    <w:uiPriority w:val="0"/>
    <w:rPr>
      <w:rFonts w:hint="eastAsia" w:ascii="宋体" w:hAnsi="宋体" w:eastAsia="宋体" w:cs="宋体"/>
      <w:color w:val="000000"/>
      <w:sz w:val="21"/>
      <w:szCs w:val="21"/>
      <w:u w:val="none"/>
    </w:rPr>
  </w:style>
  <w:style w:type="character" w:customStyle="1" w:styleId="30">
    <w:name w:val="批注框文本 Char"/>
    <w:basedOn w:val="23"/>
    <w:link w:val="16"/>
    <w:qFormat/>
    <w:uiPriority w:val="0"/>
    <w:rPr>
      <w:kern w:val="2"/>
      <w:sz w:val="18"/>
      <w:szCs w:val="18"/>
    </w:rPr>
  </w:style>
  <w:style w:type="paragraph" w:customStyle="1" w:styleId="31">
    <w:name w:val="样式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font51"/>
    <w:basedOn w:val="23"/>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23822</Words>
  <Characters>24401</Characters>
  <Lines>80</Lines>
  <Paragraphs>22</Paragraphs>
  <TotalTime>4</TotalTime>
  <ScaleCrop>false</ScaleCrop>
  <LinksUpToDate>false</LinksUpToDate>
  <CharactersWithSpaces>24586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2023-05-26T01:19:00Z</dcterms:created>
  <dc:creator>职教桥周洁</dc:creator>
  <cp:lastModifiedBy>yzgl</cp:lastModifiedBy>
  <dcterms:modified xsi:type="dcterms:W3CDTF">2023-06-21T02:51:31Z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981628DADE9C421F95885AFC847A57F3_13</vt:lpwstr>
  </property>
</Properties>
</file>