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楷体" w:hAnsi="楷体" w:eastAsia="楷体"/>
          <w:b/>
          <w:bCs/>
          <w:sz w:val="56"/>
          <w:szCs w:val="56"/>
        </w:rPr>
      </w:pPr>
      <w:bookmarkStart w:id="0" w:name="_Toc16337"/>
      <w:bookmarkStart w:id="1" w:name="_Toc10776"/>
      <w:bookmarkStart w:id="2" w:name="_Toc24589"/>
      <w:r>
        <w:rPr>
          <w:rFonts w:hint="eastAsia" w:ascii="楷体" w:hAnsi="楷体" w:eastAsia="楷体"/>
          <w:b/>
          <w:bCs/>
          <w:sz w:val="24"/>
        </w:rPr>
        <w:t xml:space="preserve">   国家中等职业教育改革发展示范学校</w:t>
      </w:r>
    </w:p>
    <w:p>
      <w:pPr>
        <w:pStyle w:val="18"/>
        <w:spacing w:beforeLines="0" w:after="0" w:line="240" w:lineRule="auto"/>
        <w:ind w:firstLine="0" w:firstLineChars="0"/>
        <w:jc w:val="center"/>
        <w:outlineLvl w:val="0"/>
        <w:rPr>
          <w:rFonts w:ascii="华文行楷" w:hAnsi="华文行楷" w:eastAsia="华文行楷" w:cs="华文行楷"/>
          <w:sz w:val="72"/>
          <w:szCs w:val="144"/>
        </w:rPr>
      </w:pPr>
    </w:p>
    <w:p>
      <w:pPr>
        <w:pStyle w:val="18"/>
        <w:spacing w:beforeLines="0" w:after="0" w:line="240" w:lineRule="auto"/>
        <w:ind w:firstLine="0" w:firstLineChars="0"/>
        <w:jc w:val="center"/>
        <w:outlineLvl w:val="0"/>
        <w:rPr>
          <w:rFonts w:ascii="华文行楷" w:hAnsi="华文行楷" w:eastAsia="华文行楷" w:cs="华文行楷"/>
          <w:sz w:val="72"/>
          <w:szCs w:val="144"/>
        </w:rPr>
      </w:pPr>
    </w:p>
    <w:p>
      <w:pPr>
        <w:pStyle w:val="18"/>
        <w:spacing w:beforeLines="0" w:after="0" w:line="240" w:lineRule="auto"/>
        <w:ind w:firstLine="0" w:firstLineChars="0"/>
        <w:jc w:val="center"/>
        <w:outlineLvl w:val="0"/>
        <w:rPr>
          <w:rFonts w:ascii="华文行楷" w:hAnsi="华文行楷" w:eastAsia="华文行楷" w:cs="华文行楷"/>
          <w:sz w:val="72"/>
          <w:szCs w:val="144"/>
        </w:rPr>
      </w:pPr>
      <w:bookmarkStart w:id="3" w:name="_Hlk80881458"/>
      <w:bookmarkEnd w:id="3"/>
      <w:r>
        <w:rPr>
          <w:rFonts w:asciiTheme="minorEastAsia" w:hAnsiTheme="minorEastAsia" w:cstheme="minorEastAsia"/>
          <w:b/>
          <w:bCs/>
          <w:sz w:val="36"/>
          <w:szCs w:val="44"/>
        </w:rPr>
        <w:drawing>
          <wp:inline distT="0" distB="0" distL="0" distR="0">
            <wp:extent cx="1343025" cy="1342390"/>
            <wp:effectExtent l="0" t="0" r="952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6" cstate="print">
                      <a:extLst>
                        <a:ext uri="{28A0092B-C50C-407E-A947-70E740481C1C}">
                          <a14:useLocalDpi xmlns:a14="http://schemas.microsoft.com/office/drawing/2010/main" val="0"/>
                        </a:ext>
                      </a:extLst>
                    </a:blip>
                    <a:srcRect l="26467" t="5625" r="27604" b="31118"/>
                    <a:stretch>
                      <a:fillRect/>
                    </a:stretch>
                  </pic:blipFill>
                  <pic:spPr>
                    <a:xfrm>
                      <a:off x="0" y="0"/>
                      <a:ext cx="1353881" cy="1352807"/>
                    </a:xfrm>
                    <a:prstGeom prst="rect">
                      <a:avLst/>
                    </a:prstGeom>
                    <a:ln>
                      <a:noFill/>
                    </a:ln>
                  </pic:spPr>
                </pic:pic>
              </a:graphicData>
            </a:graphic>
          </wp:inline>
        </w:drawing>
      </w:r>
    </w:p>
    <w:p>
      <w:pPr>
        <w:pStyle w:val="18"/>
        <w:spacing w:beforeLines="0" w:after="0" w:line="240" w:lineRule="auto"/>
        <w:ind w:firstLine="0" w:firstLineChars="0"/>
        <w:jc w:val="center"/>
        <w:outlineLvl w:val="0"/>
        <w:rPr>
          <w:rFonts w:ascii="黑体" w:hAnsi="黑体" w:eastAsia="黑体" w:cs="黑体"/>
          <w:b/>
          <w:sz w:val="52"/>
          <w:szCs w:val="52"/>
          <w:shd w:val="clear" w:color="auto" w:fill="FFFFFF"/>
        </w:rPr>
      </w:pPr>
      <w:r>
        <w:rPr>
          <w:rFonts w:hint="eastAsia" w:ascii="华文行楷" w:hAnsi="华文行楷" w:eastAsia="华文行楷" w:cs="华文行楷"/>
          <w:sz w:val="72"/>
          <w:szCs w:val="144"/>
        </w:rPr>
        <w:t>阳江市第一职业技术学校</w:t>
      </w:r>
      <w:bookmarkEnd w:id="0"/>
    </w:p>
    <w:p>
      <w:pPr>
        <w:spacing w:beforeLines="500" w:line="360" w:lineRule="auto"/>
        <w:jc w:val="center"/>
        <w:outlineLvl w:val="0"/>
        <w:rPr>
          <w:rFonts w:ascii="黑体" w:hAnsi="黑体" w:eastAsia="黑体" w:cs="黑体"/>
          <w:b/>
          <w:sz w:val="56"/>
          <w:szCs w:val="56"/>
          <w:shd w:val="clear" w:color="auto" w:fill="FFFFFF"/>
        </w:rPr>
      </w:pPr>
      <w:bookmarkStart w:id="4" w:name="_Toc3655"/>
      <w:bookmarkStart w:id="5" w:name="_Toc30037"/>
      <w:r>
        <w:rPr>
          <w:rFonts w:hint="eastAsia" w:ascii="黑体" w:hAnsi="黑体" w:eastAsia="黑体" w:cs="黑体"/>
          <w:b/>
          <w:sz w:val="56"/>
          <w:szCs w:val="56"/>
          <w:shd w:val="clear" w:color="auto" w:fill="FFFFFF"/>
        </w:rPr>
        <w:t>旅游服务与管理</w:t>
      </w:r>
    </w:p>
    <w:bookmarkEnd w:id="4"/>
    <w:bookmarkEnd w:id="5"/>
    <w:p>
      <w:pPr>
        <w:spacing w:beforeLines="10" w:line="360" w:lineRule="auto"/>
        <w:jc w:val="center"/>
        <w:outlineLvl w:val="0"/>
        <w:rPr>
          <w:rFonts w:ascii="楷体" w:hAnsi="楷体" w:eastAsia="黑体"/>
          <w:b/>
          <w:bCs/>
          <w:sz w:val="72"/>
          <w:szCs w:val="72"/>
        </w:rPr>
      </w:pPr>
      <w:bookmarkStart w:id="6" w:name="_Toc17212"/>
      <w:r>
        <w:rPr>
          <w:rFonts w:hint="eastAsia" w:ascii="黑体" w:hAnsi="黑体" w:eastAsia="黑体" w:cs="黑体"/>
          <w:b/>
          <w:sz w:val="56"/>
          <w:szCs w:val="56"/>
          <w:shd w:val="clear" w:color="auto" w:fill="FFFFFF"/>
        </w:rPr>
        <w:t>人才培养方案</w:t>
      </w:r>
      <w:bookmarkEnd w:id="6"/>
      <w:r>
        <w:rPr>
          <w:rFonts w:hint="eastAsia" w:ascii="黑体" w:hAnsi="黑体" w:eastAsia="黑体" w:cs="黑体"/>
          <w:b/>
          <w:sz w:val="56"/>
          <w:szCs w:val="56"/>
          <w:shd w:val="clear" w:color="auto" w:fill="FFFFFF"/>
        </w:rPr>
        <w:t>（2023级）</w:t>
      </w:r>
    </w:p>
    <w:p>
      <w:pPr>
        <w:pStyle w:val="14"/>
        <w:spacing w:beforeLines="1000"/>
        <w:ind w:firstLine="0"/>
        <w:jc w:val="center"/>
        <w:rPr>
          <w:bCs/>
        </w:rPr>
      </w:pPr>
      <w:r>
        <w:rPr>
          <w:rFonts w:hint="eastAsia" w:ascii="黑体" w:hAnsi="黑体" w:eastAsia="黑体"/>
          <w:bCs/>
          <w:shd w:val="clear" w:color="auto" w:fill="FFFFFF"/>
        </w:rPr>
        <w:t>2023年5月</w:t>
      </w:r>
    </w:p>
    <w:p>
      <w:pPr>
        <w:pStyle w:val="19"/>
        <w:spacing w:before="93" w:after="93"/>
        <w:ind w:firstLine="464"/>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701"/>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835" w:type="dxa"/>
            <w:gridSpan w:val="2"/>
            <w:vAlign w:val="center"/>
          </w:tcPr>
          <w:p>
            <w:pPr>
              <w:pStyle w:val="19"/>
              <w:spacing w:beforeLines="0" w:afterLines="0" w:line="240" w:lineRule="auto"/>
              <w:ind w:left="0" w:leftChars="0" w:firstLine="0" w:firstLineChars="0"/>
              <w:jc w:val="center"/>
              <w:rPr>
                <w:sz w:val="28"/>
                <w:szCs w:val="28"/>
              </w:rPr>
            </w:pPr>
            <w:r>
              <w:rPr>
                <w:sz w:val="28"/>
                <w:szCs w:val="28"/>
              </w:rPr>
              <w:br w:type="page"/>
            </w:r>
            <w:r>
              <w:rPr>
                <w:rFonts w:hint="eastAsia"/>
                <w:sz w:val="28"/>
                <w:szCs w:val="28"/>
              </w:rPr>
              <w:t>专业名称</w:t>
            </w:r>
          </w:p>
        </w:tc>
        <w:tc>
          <w:tcPr>
            <w:tcW w:w="5529" w:type="dxa"/>
            <w:vAlign w:val="center"/>
          </w:tcPr>
          <w:p>
            <w:pPr>
              <w:pStyle w:val="19"/>
              <w:spacing w:beforeLines="0" w:afterLines="0" w:line="240" w:lineRule="auto"/>
              <w:ind w:left="0" w:leftChars="0" w:firstLine="0" w:firstLineChars="0"/>
              <w:rPr>
                <w:sz w:val="28"/>
                <w:szCs w:val="28"/>
              </w:rPr>
            </w:pPr>
            <w:r>
              <w:rPr>
                <w:rFonts w:hint="eastAsia"/>
                <w:sz w:val="28"/>
                <w:szCs w:val="28"/>
              </w:rPr>
              <w:t>旅游服务与管理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35" w:type="dxa"/>
            <w:gridSpan w:val="2"/>
            <w:vAlign w:val="center"/>
          </w:tcPr>
          <w:p>
            <w:pPr>
              <w:pStyle w:val="19"/>
              <w:spacing w:beforeLines="0" w:afterLines="0" w:line="240" w:lineRule="auto"/>
              <w:ind w:left="0" w:leftChars="0" w:firstLine="0" w:firstLineChars="0"/>
              <w:jc w:val="center"/>
              <w:rPr>
                <w:sz w:val="28"/>
                <w:szCs w:val="28"/>
              </w:rPr>
            </w:pPr>
            <w:r>
              <w:rPr>
                <w:rFonts w:hint="eastAsia"/>
                <w:sz w:val="28"/>
                <w:szCs w:val="28"/>
              </w:rPr>
              <w:t>专业代码</w:t>
            </w:r>
          </w:p>
        </w:tc>
        <w:tc>
          <w:tcPr>
            <w:tcW w:w="5529" w:type="dxa"/>
            <w:vAlign w:val="center"/>
          </w:tcPr>
          <w:p>
            <w:pPr>
              <w:pStyle w:val="19"/>
              <w:spacing w:beforeLines="0" w:afterLines="0" w:line="240" w:lineRule="auto"/>
              <w:ind w:left="0" w:leftChars="0" w:firstLine="0" w:firstLineChars="0"/>
              <w:rPr>
                <w:sz w:val="28"/>
                <w:szCs w:val="28"/>
              </w:rPr>
            </w:pPr>
            <w:r>
              <w:rPr>
                <w:rFonts w:hint="eastAsia"/>
                <w:sz w:val="28"/>
                <w:szCs w:val="28"/>
              </w:rPr>
              <w:t>740101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835" w:type="dxa"/>
            <w:gridSpan w:val="2"/>
            <w:vAlign w:val="center"/>
          </w:tcPr>
          <w:p>
            <w:pPr>
              <w:pStyle w:val="19"/>
              <w:spacing w:beforeLines="0" w:afterLines="0" w:line="240" w:lineRule="auto"/>
              <w:ind w:left="0" w:leftChars="0" w:firstLine="0" w:firstLineChars="0"/>
              <w:jc w:val="center"/>
              <w:rPr>
                <w:sz w:val="28"/>
                <w:szCs w:val="28"/>
              </w:rPr>
            </w:pPr>
            <w:r>
              <w:rPr>
                <w:rFonts w:hint="eastAsia"/>
                <w:sz w:val="28"/>
                <w:szCs w:val="28"/>
              </w:rPr>
              <w:t>适用学生</w:t>
            </w:r>
          </w:p>
        </w:tc>
        <w:tc>
          <w:tcPr>
            <w:tcW w:w="5529" w:type="dxa"/>
            <w:vAlign w:val="center"/>
          </w:tcPr>
          <w:p>
            <w:pPr>
              <w:pStyle w:val="19"/>
              <w:spacing w:beforeLines="0" w:afterLines="0" w:line="240" w:lineRule="auto"/>
              <w:ind w:left="0" w:leftChars="0" w:firstLine="0" w:firstLineChars="0"/>
              <w:rPr>
                <w:sz w:val="28"/>
                <w:szCs w:val="28"/>
              </w:rPr>
            </w:pPr>
            <w:r>
              <w:rPr>
                <w:rFonts w:hint="eastAsia"/>
                <w:sz w:val="28"/>
                <w:szCs w:val="28"/>
              </w:rPr>
              <w:t>旅游服务与管理专业学生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34" w:type="dxa"/>
            <w:vMerge w:val="restart"/>
            <w:vAlign w:val="center"/>
          </w:tcPr>
          <w:p>
            <w:pPr>
              <w:pStyle w:val="19"/>
              <w:spacing w:beforeLines="0" w:afterLines="0" w:line="240" w:lineRule="auto"/>
              <w:ind w:left="0" w:leftChars="0" w:firstLine="0" w:firstLineChars="0"/>
              <w:jc w:val="center"/>
              <w:rPr>
                <w:sz w:val="28"/>
                <w:szCs w:val="28"/>
              </w:rPr>
            </w:pPr>
            <w:r>
              <w:rPr>
                <w:rFonts w:hint="eastAsia"/>
                <w:sz w:val="28"/>
                <w:szCs w:val="28"/>
              </w:rPr>
              <w:t>主编</w:t>
            </w:r>
          </w:p>
        </w:tc>
        <w:tc>
          <w:tcPr>
            <w:tcW w:w="1701" w:type="dxa"/>
            <w:vAlign w:val="center"/>
          </w:tcPr>
          <w:p>
            <w:pPr>
              <w:pStyle w:val="19"/>
              <w:spacing w:beforeLines="0" w:afterLines="0" w:line="240" w:lineRule="auto"/>
              <w:ind w:left="0" w:leftChars="0" w:firstLine="0" w:firstLineChars="0"/>
              <w:jc w:val="center"/>
              <w:rPr>
                <w:sz w:val="28"/>
                <w:szCs w:val="28"/>
              </w:rPr>
            </w:pPr>
            <w:r>
              <w:rPr>
                <w:rFonts w:hint="eastAsia"/>
                <w:sz w:val="28"/>
                <w:szCs w:val="28"/>
              </w:rPr>
              <w:t>学校人员</w:t>
            </w:r>
          </w:p>
        </w:tc>
        <w:tc>
          <w:tcPr>
            <w:tcW w:w="5529" w:type="dxa"/>
            <w:vAlign w:val="center"/>
          </w:tcPr>
          <w:p>
            <w:pPr>
              <w:pStyle w:val="19"/>
              <w:spacing w:beforeLines="0" w:afterLines="0" w:line="240" w:lineRule="auto"/>
              <w:ind w:left="0" w:leftChars="0" w:firstLine="0" w:firstLineChars="0"/>
              <w:rPr>
                <w:sz w:val="28"/>
                <w:szCs w:val="28"/>
              </w:rPr>
            </w:pPr>
            <w:r>
              <w:rPr>
                <w:rFonts w:hint="eastAsia"/>
                <w:sz w:val="28"/>
                <w:szCs w:val="28"/>
              </w:rPr>
              <w:t>余琼菲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34" w:type="dxa"/>
            <w:vMerge w:val="continue"/>
            <w:vAlign w:val="center"/>
          </w:tcPr>
          <w:p>
            <w:pPr>
              <w:pStyle w:val="19"/>
              <w:spacing w:beforeLines="0" w:afterLines="0" w:line="240" w:lineRule="auto"/>
              <w:ind w:left="0" w:leftChars="0" w:firstLine="0" w:firstLineChars="0"/>
              <w:jc w:val="center"/>
              <w:rPr>
                <w:sz w:val="28"/>
                <w:szCs w:val="28"/>
              </w:rPr>
            </w:pPr>
          </w:p>
        </w:tc>
        <w:tc>
          <w:tcPr>
            <w:tcW w:w="1701" w:type="dxa"/>
            <w:vAlign w:val="center"/>
          </w:tcPr>
          <w:p>
            <w:pPr>
              <w:pStyle w:val="19"/>
              <w:spacing w:beforeLines="0" w:afterLines="0" w:line="240" w:lineRule="auto"/>
              <w:ind w:left="0" w:leftChars="0" w:firstLine="0" w:firstLineChars="0"/>
              <w:jc w:val="center"/>
              <w:rPr>
                <w:sz w:val="28"/>
                <w:szCs w:val="28"/>
              </w:rPr>
            </w:pPr>
            <w:r>
              <w:rPr>
                <w:rFonts w:hint="eastAsia"/>
                <w:sz w:val="28"/>
                <w:szCs w:val="28"/>
              </w:rPr>
              <w:t>企业人员</w:t>
            </w:r>
          </w:p>
        </w:tc>
        <w:tc>
          <w:tcPr>
            <w:tcW w:w="5529" w:type="dxa"/>
            <w:vAlign w:val="center"/>
          </w:tcPr>
          <w:p>
            <w:pPr>
              <w:pStyle w:val="19"/>
              <w:spacing w:beforeLines="0" w:afterLines="0" w:line="240" w:lineRule="auto"/>
              <w:ind w:left="0" w:leftChars="0"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Merge w:val="restart"/>
            <w:vAlign w:val="center"/>
          </w:tcPr>
          <w:p>
            <w:pPr>
              <w:pStyle w:val="19"/>
              <w:spacing w:beforeLines="0" w:afterLines="0" w:line="240" w:lineRule="auto"/>
              <w:ind w:left="0" w:leftChars="0" w:firstLine="0" w:firstLineChars="0"/>
              <w:jc w:val="center"/>
              <w:rPr>
                <w:sz w:val="28"/>
                <w:szCs w:val="28"/>
              </w:rPr>
            </w:pPr>
            <w:r>
              <w:rPr>
                <w:rFonts w:hint="eastAsia"/>
                <w:sz w:val="28"/>
                <w:szCs w:val="28"/>
              </w:rPr>
              <w:t>参编</w:t>
            </w:r>
          </w:p>
        </w:tc>
        <w:tc>
          <w:tcPr>
            <w:tcW w:w="1701" w:type="dxa"/>
            <w:vAlign w:val="center"/>
          </w:tcPr>
          <w:p>
            <w:pPr>
              <w:pStyle w:val="19"/>
              <w:spacing w:beforeLines="0" w:afterLines="0" w:line="240" w:lineRule="auto"/>
              <w:ind w:left="0" w:leftChars="0" w:firstLine="0" w:firstLineChars="0"/>
              <w:jc w:val="center"/>
              <w:rPr>
                <w:sz w:val="28"/>
                <w:szCs w:val="28"/>
              </w:rPr>
            </w:pPr>
            <w:r>
              <w:rPr>
                <w:rFonts w:hint="eastAsia"/>
                <w:sz w:val="28"/>
                <w:szCs w:val="28"/>
              </w:rPr>
              <w:t>学校人员</w:t>
            </w:r>
          </w:p>
        </w:tc>
        <w:tc>
          <w:tcPr>
            <w:tcW w:w="5529" w:type="dxa"/>
            <w:vAlign w:val="center"/>
          </w:tcPr>
          <w:p>
            <w:pPr>
              <w:pStyle w:val="19"/>
              <w:spacing w:beforeLines="0" w:afterLines="0" w:line="240" w:lineRule="auto"/>
              <w:ind w:left="0" w:leftChars="0" w:firstLine="0" w:firstLineChars="0"/>
              <w:rPr>
                <w:sz w:val="28"/>
                <w:szCs w:val="28"/>
              </w:rPr>
            </w:pPr>
            <w:r>
              <w:rPr>
                <w:rFonts w:hint="eastAsia"/>
                <w:sz w:val="28"/>
                <w:szCs w:val="28"/>
              </w:rPr>
              <w:t>梁豪，林妹，邓珊，吴显起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4" w:type="dxa"/>
            <w:vMerge w:val="continue"/>
            <w:vAlign w:val="center"/>
          </w:tcPr>
          <w:p>
            <w:pPr>
              <w:pStyle w:val="19"/>
              <w:spacing w:beforeLines="0" w:afterLines="0" w:line="240" w:lineRule="auto"/>
              <w:ind w:left="0" w:leftChars="0" w:firstLine="0" w:firstLineChars="0"/>
              <w:jc w:val="center"/>
              <w:rPr>
                <w:sz w:val="28"/>
                <w:szCs w:val="28"/>
              </w:rPr>
            </w:pPr>
          </w:p>
        </w:tc>
        <w:tc>
          <w:tcPr>
            <w:tcW w:w="1701" w:type="dxa"/>
            <w:vAlign w:val="center"/>
          </w:tcPr>
          <w:p>
            <w:pPr>
              <w:pStyle w:val="19"/>
              <w:spacing w:beforeLines="0" w:afterLines="0" w:line="240" w:lineRule="auto"/>
              <w:ind w:left="0" w:leftChars="0" w:firstLine="0" w:firstLineChars="0"/>
              <w:jc w:val="center"/>
              <w:rPr>
                <w:sz w:val="28"/>
                <w:szCs w:val="28"/>
              </w:rPr>
            </w:pPr>
            <w:r>
              <w:rPr>
                <w:rFonts w:hint="eastAsia"/>
                <w:sz w:val="28"/>
                <w:szCs w:val="28"/>
              </w:rPr>
              <w:t>企业人员</w:t>
            </w:r>
          </w:p>
        </w:tc>
        <w:tc>
          <w:tcPr>
            <w:tcW w:w="5529" w:type="dxa"/>
            <w:vAlign w:val="center"/>
          </w:tcPr>
          <w:p>
            <w:pPr>
              <w:pStyle w:val="19"/>
              <w:spacing w:beforeLines="0" w:afterLines="0" w:line="240" w:lineRule="auto"/>
              <w:ind w:left="0" w:leftChars="0"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835" w:type="dxa"/>
            <w:gridSpan w:val="2"/>
            <w:vAlign w:val="center"/>
          </w:tcPr>
          <w:p>
            <w:pPr>
              <w:pStyle w:val="19"/>
              <w:spacing w:beforeLines="0" w:afterLines="0" w:line="240" w:lineRule="auto"/>
              <w:ind w:left="0" w:leftChars="0" w:firstLine="0" w:firstLineChars="0"/>
              <w:jc w:val="center"/>
              <w:rPr>
                <w:sz w:val="28"/>
                <w:szCs w:val="28"/>
              </w:rPr>
            </w:pPr>
            <w:r>
              <w:rPr>
                <w:rFonts w:hint="eastAsia"/>
                <w:sz w:val="28"/>
                <w:szCs w:val="28"/>
              </w:rPr>
              <w:t>参编单位</w:t>
            </w:r>
          </w:p>
        </w:tc>
        <w:tc>
          <w:tcPr>
            <w:tcW w:w="5529" w:type="dxa"/>
            <w:vAlign w:val="center"/>
          </w:tcPr>
          <w:p>
            <w:pPr>
              <w:pStyle w:val="19"/>
              <w:spacing w:beforeLines="0" w:afterLines="0" w:line="240" w:lineRule="auto"/>
              <w:ind w:left="0" w:leftChars="0" w:firstLine="0" w:firstLineChars="0"/>
              <w:rPr>
                <w:sz w:val="28"/>
                <w:szCs w:val="28"/>
              </w:rPr>
            </w:pPr>
            <w:r>
              <w:rPr>
                <w:rFonts w:hint="eastAsia" w:ascii="宋体" w:hAnsi="宋体" w:eastAsia="宋体" w:cs="宋体"/>
                <w:szCs w:val="21"/>
              </w:rPr>
              <w:t>阳江碧桂园凤凰酒店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835" w:type="dxa"/>
            <w:gridSpan w:val="2"/>
            <w:vAlign w:val="center"/>
          </w:tcPr>
          <w:p>
            <w:pPr>
              <w:pStyle w:val="19"/>
              <w:spacing w:beforeLines="0" w:afterLines="0" w:line="240" w:lineRule="auto"/>
              <w:ind w:left="0" w:leftChars="0" w:firstLine="0" w:firstLineChars="0"/>
              <w:jc w:val="center"/>
              <w:rPr>
                <w:sz w:val="28"/>
                <w:szCs w:val="28"/>
              </w:rPr>
            </w:pPr>
            <w:r>
              <w:rPr>
                <w:rFonts w:hint="eastAsia"/>
                <w:sz w:val="28"/>
                <w:szCs w:val="28"/>
              </w:rPr>
              <w:t>教学主任审核</w:t>
            </w:r>
          </w:p>
        </w:tc>
        <w:tc>
          <w:tcPr>
            <w:tcW w:w="5529" w:type="dxa"/>
            <w:vAlign w:val="center"/>
          </w:tcPr>
          <w:p>
            <w:pPr>
              <w:pStyle w:val="12"/>
            </w:pPr>
          </w:p>
          <w:p>
            <w:pPr>
              <w:pStyle w:val="19"/>
              <w:spacing w:beforeLines="0" w:afterLines="0" w:line="240" w:lineRule="auto"/>
              <w:ind w:left="0" w:leftChars="0" w:firstLine="0" w:firstLineChars="0"/>
              <w:jc w:val="left"/>
              <w:rPr>
                <w:sz w:val="28"/>
                <w:szCs w:val="28"/>
              </w:rPr>
            </w:pPr>
            <w:r>
              <w:rPr>
                <w:rFonts w:hint="eastAsia"/>
                <w:sz w:val="28"/>
                <w:szCs w:val="28"/>
              </w:rPr>
              <w:t>签名（盖章）：关丽</w:t>
            </w:r>
          </w:p>
          <w:p>
            <w:pPr>
              <w:pStyle w:val="12"/>
              <w:jc w:val="left"/>
              <w:rPr>
                <w:rFonts w:hint="default" w:ascii="宋体" w:eastAsiaTheme="minorEastAsia"/>
                <w:spacing w:val="-4"/>
                <w:kern w:val="0"/>
                <w:sz w:val="28"/>
                <w:szCs w:val="28"/>
                <w:lang w:val="en-US" w:eastAsia="zh-CN"/>
              </w:rPr>
            </w:pPr>
            <w:r>
              <w:rPr>
                <w:rFonts w:hint="eastAsia" w:ascii="宋体"/>
                <w:spacing w:val="-4"/>
                <w:kern w:val="0"/>
                <w:sz w:val="28"/>
                <w:szCs w:val="28"/>
              </w:rPr>
              <w:t>日期：</w:t>
            </w:r>
            <w:r>
              <w:rPr>
                <w:rFonts w:hint="eastAsia" w:ascii="宋体"/>
                <w:spacing w:val="-4"/>
                <w:kern w:val="0"/>
                <w:sz w:val="28"/>
                <w:szCs w:val="28"/>
                <w:lang w:val="en-US" w:eastAsia="zh-CN"/>
              </w:rPr>
              <w:t>2023年6月2</w:t>
            </w:r>
            <w:bookmarkStart w:id="106" w:name="_GoBack"/>
            <w:bookmarkEnd w:id="106"/>
            <w:r>
              <w:rPr>
                <w:rFonts w:hint="eastAsia" w:ascii="宋体"/>
                <w:spacing w:val="-4"/>
                <w:kern w:val="0"/>
                <w:sz w:val="28"/>
                <w:szCs w:val="28"/>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835" w:type="dxa"/>
            <w:gridSpan w:val="2"/>
            <w:vAlign w:val="center"/>
          </w:tcPr>
          <w:p>
            <w:pPr>
              <w:pStyle w:val="19"/>
              <w:spacing w:beforeLines="0" w:afterLines="0" w:line="240" w:lineRule="auto"/>
              <w:ind w:left="0" w:leftChars="0" w:firstLine="0" w:firstLineChars="0"/>
              <w:jc w:val="center"/>
              <w:rPr>
                <w:sz w:val="28"/>
                <w:szCs w:val="28"/>
              </w:rPr>
            </w:pPr>
            <w:r>
              <w:rPr>
                <w:rFonts w:hint="eastAsia"/>
                <w:sz w:val="28"/>
                <w:szCs w:val="28"/>
              </w:rPr>
              <w:t>教务科审核</w:t>
            </w:r>
          </w:p>
        </w:tc>
        <w:tc>
          <w:tcPr>
            <w:tcW w:w="5529" w:type="dxa"/>
            <w:vAlign w:val="center"/>
          </w:tcPr>
          <w:p>
            <w:pPr>
              <w:pStyle w:val="19"/>
              <w:spacing w:beforeLines="0" w:afterLines="0" w:line="240" w:lineRule="auto"/>
              <w:ind w:left="0" w:leftChars="0" w:firstLine="0" w:firstLineChars="0"/>
              <w:jc w:val="left"/>
              <w:rPr>
                <w:sz w:val="28"/>
                <w:szCs w:val="28"/>
              </w:rPr>
            </w:pPr>
          </w:p>
          <w:p>
            <w:pPr>
              <w:pStyle w:val="19"/>
              <w:spacing w:beforeLines="0" w:afterLines="0" w:line="240" w:lineRule="auto"/>
              <w:ind w:left="0" w:leftChars="0" w:firstLine="0" w:firstLineChars="0"/>
              <w:jc w:val="left"/>
              <w:rPr>
                <w:sz w:val="28"/>
                <w:szCs w:val="28"/>
              </w:rPr>
            </w:pPr>
            <w:r>
              <w:rPr>
                <w:rFonts w:hint="eastAsia"/>
                <w:sz w:val="28"/>
                <w:szCs w:val="28"/>
              </w:rPr>
              <w:t>签名（盖章）：</w:t>
            </w:r>
          </w:p>
          <w:p>
            <w:pPr>
              <w:pStyle w:val="19"/>
              <w:spacing w:beforeLines="0" w:afterLines="0" w:line="240" w:lineRule="auto"/>
              <w:ind w:left="0" w:leftChars="0" w:firstLine="0" w:firstLineChars="0"/>
              <w:jc w:val="left"/>
              <w:rPr>
                <w:sz w:val="28"/>
                <w:szCs w:val="28"/>
              </w:rPr>
            </w:pPr>
            <w:r>
              <w:rPr>
                <w:rFonts w:hint="eastAsia"/>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835" w:type="dxa"/>
            <w:gridSpan w:val="2"/>
            <w:vAlign w:val="center"/>
          </w:tcPr>
          <w:p>
            <w:pPr>
              <w:pStyle w:val="19"/>
              <w:spacing w:beforeLines="0" w:afterLines="0" w:line="240" w:lineRule="auto"/>
              <w:ind w:left="0" w:leftChars="0" w:firstLine="0" w:firstLineChars="0"/>
              <w:jc w:val="center"/>
              <w:rPr>
                <w:sz w:val="28"/>
                <w:szCs w:val="28"/>
              </w:rPr>
            </w:pPr>
            <w:r>
              <w:rPr>
                <w:rFonts w:hint="eastAsia"/>
                <w:sz w:val="28"/>
                <w:szCs w:val="28"/>
              </w:rPr>
              <w:t>教学工作指导委员会审核</w:t>
            </w:r>
          </w:p>
        </w:tc>
        <w:tc>
          <w:tcPr>
            <w:tcW w:w="5529" w:type="dxa"/>
            <w:vAlign w:val="center"/>
          </w:tcPr>
          <w:p>
            <w:pPr>
              <w:pStyle w:val="19"/>
              <w:spacing w:beforeLines="0" w:afterLines="0" w:line="240" w:lineRule="auto"/>
              <w:ind w:left="0" w:leftChars="0" w:firstLine="0" w:firstLineChars="0"/>
              <w:jc w:val="left"/>
              <w:rPr>
                <w:sz w:val="28"/>
                <w:szCs w:val="28"/>
              </w:rPr>
            </w:pPr>
          </w:p>
          <w:p>
            <w:pPr>
              <w:pStyle w:val="12"/>
            </w:pPr>
          </w:p>
          <w:p>
            <w:pPr>
              <w:pStyle w:val="19"/>
              <w:spacing w:beforeLines="0" w:afterLines="0" w:line="240" w:lineRule="auto"/>
              <w:ind w:left="0" w:leftChars="0" w:firstLine="0" w:firstLineChars="0"/>
              <w:jc w:val="left"/>
              <w:rPr>
                <w:sz w:val="28"/>
                <w:szCs w:val="28"/>
              </w:rPr>
            </w:pPr>
            <w:r>
              <w:rPr>
                <w:rFonts w:hint="eastAsia"/>
                <w:sz w:val="28"/>
                <w:szCs w:val="28"/>
              </w:rPr>
              <w:t>签名（盖章）：</w:t>
            </w:r>
          </w:p>
          <w:p>
            <w:pPr>
              <w:pStyle w:val="19"/>
              <w:spacing w:beforeLines="0" w:afterLines="0" w:line="240" w:lineRule="auto"/>
              <w:ind w:left="0" w:leftChars="0" w:firstLine="0" w:firstLineChars="0"/>
              <w:jc w:val="left"/>
              <w:rPr>
                <w:sz w:val="28"/>
                <w:szCs w:val="28"/>
              </w:rPr>
            </w:pPr>
            <w:r>
              <w:rPr>
                <w:rFonts w:hint="eastAsia"/>
                <w:sz w:val="28"/>
                <w:szCs w:val="28"/>
              </w:rPr>
              <w:t>日期：</w:t>
            </w:r>
          </w:p>
        </w:tc>
      </w:tr>
    </w:tbl>
    <w:p>
      <w:pPr>
        <w:pStyle w:val="19"/>
        <w:spacing w:before="93" w:after="93"/>
        <w:ind w:firstLine="464"/>
        <w:sectPr>
          <w:pgSz w:w="11906" w:h="16838"/>
          <w:pgMar w:top="1440" w:right="1800" w:bottom="1440" w:left="1800" w:header="720" w:footer="720" w:gutter="0"/>
          <w:cols w:space="425" w:num="1"/>
          <w:docGrid w:type="lines" w:linePitch="312" w:charSpace="0"/>
        </w:sectPr>
      </w:pPr>
    </w:p>
    <w:sdt>
      <w:sdtPr>
        <w:rPr>
          <w:rFonts w:ascii="宋体" w:hAnsi="宋体" w:eastAsia="宋体"/>
        </w:rPr>
        <w:id w:val="147469042"/>
        <w:docPartObj>
          <w:docPartGallery w:val="Table of Contents"/>
          <w:docPartUnique/>
        </w:docPartObj>
      </w:sdtPr>
      <w:sdtEndPr>
        <w:rPr>
          <w:rFonts w:hint="eastAsia" w:asciiTheme="minorHAnsi" w:hAnsiTheme="minorHAnsi" w:eastAsiaTheme="minorEastAsia"/>
          <w:b/>
          <w:bCs/>
          <w:szCs w:val="40"/>
        </w:rPr>
      </w:sdtEndPr>
      <w:sdtContent>
        <w:p>
          <w:pPr>
            <w:jc w:val="center"/>
            <w:rPr>
              <w:rFonts w:ascii="宋体" w:hAnsi="宋体" w:eastAsia="宋体"/>
              <w:b/>
              <w:bCs/>
              <w:sz w:val="32"/>
              <w:szCs w:val="40"/>
            </w:rPr>
          </w:pPr>
          <w:r>
            <w:rPr>
              <w:rFonts w:ascii="宋体" w:hAnsi="宋体" w:eastAsia="宋体"/>
              <w:b/>
              <w:bCs/>
              <w:sz w:val="32"/>
              <w:szCs w:val="40"/>
            </w:rPr>
            <w:t>目录</w:t>
          </w:r>
        </w:p>
        <w:p>
          <w:pPr>
            <w:pStyle w:val="24"/>
            <w:tabs>
              <w:tab w:val="right" w:leader="dot" w:pos="8306"/>
            </w:tabs>
            <w:rPr>
              <w:b/>
            </w:rPr>
          </w:pPr>
          <w:r>
            <w:rPr>
              <w:rFonts w:hint="eastAsia"/>
              <w:b/>
              <w:bCs/>
              <w:sz w:val="40"/>
              <w:szCs w:val="40"/>
            </w:rPr>
            <w:fldChar w:fldCharType="begin"/>
          </w:r>
          <w:r>
            <w:rPr>
              <w:rFonts w:hint="eastAsia"/>
              <w:b/>
              <w:bCs/>
              <w:sz w:val="40"/>
              <w:szCs w:val="40"/>
            </w:rPr>
            <w:instrText xml:space="preserve">TOC \o "1-2" \h \u </w:instrText>
          </w:r>
          <w:r>
            <w:rPr>
              <w:rFonts w:hint="eastAsia"/>
              <w:b/>
              <w:bCs/>
              <w:sz w:val="40"/>
              <w:szCs w:val="40"/>
            </w:rPr>
            <w:fldChar w:fldCharType="separate"/>
          </w:r>
        </w:p>
        <w:p>
          <w:pPr>
            <w:pStyle w:val="24"/>
            <w:tabs>
              <w:tab w:val="right" w:leader="dot" w:pos="8306"/>
            </w:tabs>
            <w:spacing w:line="360" w:lineRule="auto"/>
            <w:rPr>
              <w:rFonts w:ascii="宋体" w:hAnsi="宋体" w:eastAsia="宋体" w:cs="宋体"/>
              <w:b/>
              <w:sz w:val="24"/>
              <w:szCs w:val="24"/>
            </w:rPr>
          </w:pPr>
          <w:r>
            <w:fldChar w:fldCharType="begin"/>
          </w:r>
          <w:r>
            <w:instrText xml:space="preserve"> HYPERLINK \l "_Toc6406" </w:instrText>
          </w:r>
          <w:r>
            <w:fldChar w:fldCharType="separate"/>
          </w:r>
          <w:r>
            <w:rPr>
              <w:rFonts w:hint="eastAsia" w:ascii="宋体" w:hAnsi="宋体" w:eastAsia="宋体" w:cs="宋体"/>
              <w:b/>
              <w:kern w:val="44"/>
              <w:sz w:val="24"/>
              <w:szCs w:val="24"/>
            </w:rPr>
            <w:t>一、专业名称及代码</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_Toc6406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4"/>
            <w:tabs>
              <w:tab w:val="right" w:leader="dot" w:pos="8306"/>
            </w:tabs>
            <w:spacing w:line="360" w:lineRule="auto"/>
            <w:rPr>
              <w:rFonts w:ascii="宋体" w:hAnsi="宋体" w:eastAsia="宋体" w:cs="宋体"/>
              <w:sz w:val="24"/>
              <w:szCs w:val="24"/>
            </w:rPr>
          </w:pPr>
          <w:r>
            <w:fldChar w:fldCharType="begin"/>
          </w:r>
          <w:r>
            <w:instrText xml:space="preserve"> HYPERLINK \l "_Toc1924" </w:instrText>
          </w:r>
          <w:r>
            <w:fldChar w:fldCharType="separate"/>
          </w:r>
          <w:r>
            <w:rPr>
              <w:rFonts w:hint="eastAsia" w:ascii="宋体" w:hAnsi="宋体" w:eastAsia="宋体" w:cs="宋体"/>
              <w:b/>
              <w:kern w:val="44"/>
              <w:sz w:val="24"/>
              <w:szCs w:val="24"/>
            </w:rPr>
            <w:t>二、入学要求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_Toc1924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4"/>
            <w:tabs>
              <w:tab w:val="right" w:leader="dot" w:pos="8306"/>
            </w:tabs>
            <w:spacing w:line="360" w:lineRule="auto"/>
            <w:rPr>
              <w:rFonts w:ascii="宋体" w:hAnsi="宋体" w:eastAsia="宋体" w:cs="宋体"/>
              <w:b/>
              <w:sz w:val="24"/>
              <w:szCs w:val="24"/>
            </w:rPr>
          </w:pPr>
          <w:r>
            <w:fldChar w:fldCharType="begin"/>
          </w:r>
          <w:r>
            <w:instrText xml:space="preserve"> HYPERLINK \l "_Toc6344" </w:instrText>
          </w:r>
          <w:r>
            <w:fldChar w:fldCharType="separate"/>
          </w:r>
          <w:r>
            <w:rPr>
              <w:rFonts w:hint="eastAsia" w:ascii="宋体" w:hAnsi="宋体" w:eastAsia="宋体" w:cs="宋体"/>
              <w:b/>
              <w:kern w:val="44"/>
              <w:sz w:val="24"/>
              <w:szCs w:val="24"/>
            </w:rPr>
            <w:t>三、修业年限</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_Toc6344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4"/>
            <w:tabs>
              <w:tab w:val="right" w:leader="dot" w:pos="8306"/>
            </w:tabs>
            <w:spacing w:line="360" w:lineRule="auto"/>
            <w:rPr>
              <w:rFonts w:ascii="宋体" w:hAnsi="宋体" w:eastAsia="宋体" w:cs="宋体"/>
              <w:sz w:val="24"/>
              <w:szCs w:val="24"/>
            </w:rPr>
          </w:pPr>
          <w:r>
            <w:fldChar w:fldCharType="begin"/>
          </w:r>
          <w:r>
            <w:instrText xml:space="preserve"> HYPERLINK \l "_Toc24484" </w:instrText>
          </w:r>
          <w:r>
            <w:fldChar w:fldCharType="separate"/>
          </w:r>
          <w:r>
            <w:rPr>
              <w:rFonts w:hint="eastAsia" w:ascii="宋体" w:hAnsi="宋体" w:eastAsia="宋体" w:cs="宋体"/>
              <w:b/>
              <w:kern w:val="44"/>
              <w:sz w:val="24"/>
              <w:szCs w:val="24"/>
            </w:rPr>
            <w:t>四、组群逻辑</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_Toc24484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4"/>
            <w:tabs>
              <w:tab w:val="right" w:leader="dot" w:pos="8306"/>
            </w:tabs>
            <w:spacing w:line="360" w:lineRule="auto"/>
            <w:rPr>
              <w:rFonts w:ascii="宋体" w:hAnsi="宋体" w:eastAsia="宋体" w:cs="宋体"/>
              <w:b/>
              <w:sz w:val="24"/>
              <w:szCs w:val="24"/>
            </w:rPr>
          </w:pPr>
          <w:r>
            <w:fldChar w:fldCharType="begin"/>
          </w:r>
          <w:r>
            <w:instrText xml:space="preserve"> HYPERLINK \l "_Toc6665" </w:instrText>
          </w:r>
          <w:r>
            <w:fldChar w:fldCharType="separate"/>
          </w:r>
          <w:r>
            <w:rPr>
              <w:rFonts w:hint="eastAsia" w:ascii="宋体" w:hAnsi="宋体" w:eastAsia="宋体" w:cs="宋体"/>
              <w:b/>
              <w:kern w:val="44"/>
              <w:sz w:val="24"/>
              <w:szCs w:val="24"/>
            </w:rPr>
            <w:t>五、职业面向</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_Toc6665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2</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4"/>
            <w:tabs>
              <w:tab w:val="right" w:leader="dot" w:pos="8306"/>
            </w:tabs>
            <w:spacing w:line="360" w:lineRule="auto"/>
            <w:rPr>
              <w:rFonts w:ascii="宋体" w:hAnsi="宋体" w:eastAsia="宋体" w:cs="宋体"/>
              <w:b/>
              <w:sz w:val="24"/>
              <w:szCs w:val="24"/>
            </w:rPr>
          </w:pPr>
          <w:r>
            <w:fldChar w:fldCharType="begin"/>
          </w:r>
          <w:r>
            <w:instrText xml:space="preserve"> HYPERLINK \l "_Toc28297" </w:instrText>
          </w:r>
          <w:r>
            <w:fldChar w:fldCharType="separate"/>
          </w:r>
          <w:r>
            <w:rPr>
              <w:rFonts w:hint="eastAsia" w:ascii="宋体" w:hAnsi="宋体" w:eastAsia="宋体" w:cs="宋体"/>
              <w:b/>
              <w:kern w:val="44"/>
              <w:sz w:val="24"/>
              <w:szCs w:val="24"/>
            </w:rPr>
            <w:t>六、培养目标与培养规格</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_Toc28297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2</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5"/>
            <w:tabs>
              <w:tab w:val="right" w:leader="dot" w:pos="8306"/>
            </w:tabs>
            <w:spacing w:line="360" w:lineRule="auto"/>
            <w:ind w:left="420"/>
            <w:rPr>
              <w:rFonts w:ascii="宋体" w:hAnsi="宋体" w:eastAsia="宋体" w:cs="宋体"/>
              <w:sz w:val="24"/>
              <w:szCs w:val="24"/>
            </w:rPr>
          </w:pPr>
          <w:r>
            <w:fldChar w:fldCharType="begin"/>
          </w:r>
          <w:r>
            <w:instrText xml:space="preserve"> HYPERLINK \l "_Toc24927" </w:instrText>
          </w:r>
          <w:r>
            <w:fldChar w:fldCharType="separate"/>
          </w:r>
          <w:r>
            <w:rPr>
              <w:rFonts w:hint="eastAsia" w:ascii="宋体" w:hAnsi="宋体" w:eastAsia="宋体" w:cs="宋体"/>
              <w:sz w:val="24"/>
              <w:szCs w:val="24"/>
            </w:rPr>
            <w:t>（一）培养目标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_Toc24927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tabs>
              <w:tab w:val="right" w:leader="dot" w:pos="8306"/>
            </w:tabs>
            <w:spacing w:line="360" w:lineRule="auto"/>
            <w:ind w:left="420"/>
            <w:rPr>
              <w:rFonts w:ascii="宋体" w:hAnsi="宋体" w:eastAsia="宋体" w:cs="宋体"/>
              <w:sz w:val="24"/>
              <w:szCs w:val="24"/>
            </w:rPr>
          </w:pPr>
          <w:r>
            <w:fldChar w:fldCharType="begin"/>
          </w:r>
          <w:r>
            <w:instrText xml:space="preserve"> HYPERLINK \l "_Toc4745" </w:instrText>
          </w:r>
          <w:r>
            <w:fldChar w:fldCharType="separate"/>
          </w:r>
          <w:r>
            <w:rPr>
              <w:rFonts w:hint="eastAsia" w:ascii="宋体" w:hAnsi="宋体" w:eastAsia="宋体" w:cs="宋体"/>
              <w:sz w:val="24"/>
              <w:szCs w:val="24"/>
            </w:rPr>
            <w:t>（二）培养规格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_Toc4745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ascii="宋体" w:hAnsi="宋体" w:eastAsia="宋体" w:cs="宋体"/>
              <w:b/>
              <w:sz w:val="24"/>
              <w:szCs w:val="24"/>
            </w:rPr>
          </w:pPr>
          <w:r>
            <w:fldChar w:fldCharType="begin"/>
          </w:r>
          <w:r>
            <w:instrText xml:space="preserve"> HYPERLINK \l "_Toc4600" </w:instrText>
          </w:r>
          <w:r>
            <w:fldChar w:fldCharType="separate"/>
          </w:r>
          <w:r>
            <w:rPr>
              <w:rFonts w:hint="eastAsia" w:ascii="宋体" w:hAnsi="宋体" w:eastAsia="宋体" w:cs="宋体"/>
              <w:b/>
              <w:kern w:val="44"/>
              <w:sz w:val="24"/>
              <w:szCs w:val="24"/>
            </w:rPr>
            <w:t>七、升学继续专业</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_Toc4600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4"/>
            <w:tabs>
              <w:tab w:val="right" w:leader="dot" w:pos="8306"/>
            </w:tabs>
            <w:spacing w:line="360" w:lineRule="auto"/>
            <w:rPr>
              <w:rFonts w:ascii="宋体" w:hAnsi="宋体" w:eastAsia="宋体" w:cs="宋体"/>
              <w:b/>
              <w:sz w:val="24"/>
              <w:szCs w:val="24"/>
            </w:rPr>
          </w:pPr>
          <w:r>
            <w:fldChar w:fldCharType="begin"/>
          </w:r>
          <w:r>
            <w:instrText xml:space="preserve"> HYPERLINK \l "_Toc2833" </w:instrText>
          </w:r>
          <w:r>
            <w:fldChar w:fldCharType="separate"/>
          </w:r>
          <w:r>
            <w:rPr>
              <w:rFonts w:hint="eastAsia" w:ascii="宋体" w:hAnsi="宋体" w:eastAsia="宋体" w:cs="宋体"/>
              <w:b/>
              <w:kern w:val="44"/>
              <w:sz w:val="24"/>
              <w:szCs w:val="24"/>
            </w:rPr>
            <w:t>八、课程设置及要求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_Toc2833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5"/>
            <w:tabs>
              <w:tab w:val="right" w:leader="dot" w:pos="8306"/>
            </w:tabs>
            <w:spacing w:line="360" w:lineRule="auto"/>
            <w:ind w:left="420"/>
            <w:rPr>
              <w:rFonts w:ascii="宋体" w:hAnsi="宋体" w:eastAsia="宋体" w:cs="宋体"/>
              <w:sz w:val="24"/>
              <w:szCs w:val="24"/>
            </w:rPr>
          </w:pPr>
          <w:r>
            <w:fldChar w:fldCharType="begin"/>
          </w:r>
          <w:r>
            <w:instrText xml:space="preserve"> HYPERLINK \l "_Toc26889" </w:instrText>
          </w:r>
          <w:r>
            <w:fldChar w:fldCharType="separate"/>
          </w:r>
          <w:r>
            <w:rPr>
              <w:rFonts w:hint="eastAsia" w:ascii="宋体" w:hAnsi="宋体" w:eastAsia="宋体" w:cs="宋体"/>
              <w:sz w:val="24"/>
              <w:szCs w:val="24"/>
            </w:rPr>
            <w:t>（一）公共基础课程教学内容及要求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_Toc26889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tabs>
              <w:tab w:val="right" w:leader="dot" w:pos="8306"/>
            </w:tabs>
            <w:spacing w:line="360" w:lineRule="auto"/>
            <w:ind w:left="420"/>
            <w:rPr>
              <w:rFonts w:ascii="宋体" w:hAnsi="宋体" w:eastAsia="宋体" w:cs="宋体"/>
              <w:sz w:val="24"/>
              <w:szCs w:val="24"/>
            </w:rPr>
          </w:pPr>
          <w:r>
            <w:fldChar w:fldCharType="begin"/>
          </w:r>
          <w:r>
            <w:instrText xml:space="preserve"> HYPERLINK \l "_Toc9486" </w:instrText>
          </w:r>
          <w:r>
            <w:fldChar w:fldCharType="separate"/>
          </w:r>
          <w:r>
            <w:rPr>
              <w:rFonts w:hint="eastAsia" w:ascii="宋体" w:hAnsi="宋体" w:eastAsia="宋体" w:cs="宋体"/>
              <w:sz w:val="24"/>
              <w:szCs w:val="24"/>
            </w:rPr>
            <w:t>（二）专业课程教学内容及要求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_Toc9486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ascii="宋体" w:hAnsi="宋体" w:eastAsia="宋体" w:cs="宋体"/>
              <w:b/>
              <w:sz w:val="24"/>
              <w:szCs w:val="24"/>
            </w:rPr>
          </w:pPr>
          <w:r>
            <w:fldChar w:fldCharType="begin"/>
          </w:r>
          <w:r>
            <w:instrText xml:space="preserve"> HYPERLINK \l "_Toc6693" </w:instrText>
          </w:r>
          <w:r>
            <w:fldChar w:fldCharType="separate"/>
          </w:r>
          <w:r>
            <w:rPr>
              <w:rFonts w:hint="eastAsia" w:ascii="宋体" w:hAnsi="宋体" w:eastAsia="宋体" w:cs="宋体"/>
              <w:b/>
              <w:kern w:val="44"/>
              <w:sz w:val="24"/>
              <w:szCs w:val="24"/>
            </w:rPr>
            <w:t>九、教学进程总体安排</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_Toc6693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9</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5"/>
            <w:tabs>
              <w:tab w:val="right" w:leader="dot" w:pos="8306"/>
            </w:tabs>
            <w:spacing w:line="360" w:lineRule="auto"/>
            <w:ind w:left="420"/>
            <w:rPr>
              <w:rFonts w:ascii="宋体" w:hAnsi="宋体" w:eastAsia="宋体" w:cs="宋体"/>
              <w:sz w:val="24"/>
              <w:szCs w:val="24"/>
            </w:rPr>
          </w:pPr>
          <w:r>
            <w:fldChar w:fldCharType="begin"/>
          </w:r>
          <w:r>
            <w:instrText xml:space="preserve"> HYPERLINK \l "_Toc32414" </w:instrText>
          </w:r>
          <w:r>
            <w:fldChar w:fldCharType="separate"/>
          </w:r>
          <w:r>
            <w:rPr>
              <w:rFonts w:hint="eastAsia" w:ascii="宋体" w:hAnsi="宋体" w:eastAsia="宋体" w:cs="宋体"/>
              <w:sz w:val="24"/>
              <w:szCs w:val="24"/>
            </w:rPr>
            <w:t>（一）基本要求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_Toc32414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tabs>
              <w:tab w:val="right" w:leader="dot" w:pos="8306"/>
            </w:tabs>
            <w:spacing w:line="360" w:lineRule="auto"/>
            <w:ind w:left="420"/>
            <w:rPr>
              <w:rFonts w:ascii="宋体" w:hAnsi="宋体" w:eastAsia="宋体" w:cs="宋体"/>
              <w:sz w:val="24"/>
              <w:szCs w:val="24"/>
            </w:rPr>
          </w:pPr>
          <w:r>
            <w:fldChar w:fldCharType="begin"/>
          </w:r>
          <w:r>
            <w:instrText xml:space="preserve"> HYPERLINK \l "_Toc2152" </w:instrText>
          </w:r>
          <w:r>
            <w:fldChar w:fldCharType="separate"/>
          </w:r>
          <w:r>
            <w:rPr>
              <w:rFonts w:hint="eastAsia" w:ascii="宋体" w:hAnsi="宋体" w:eastAsia="宋体" w:cs="宋体"/>
              <w:sz w:val="24"/>
              <w:szCs w:val="24"/>
            </w:rPr>
            <w:t>（二）教学进度安排表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ascii="宋体" w:hAnsi="宋体" w:eastAsia="宋体" w:cs="宋体"/>
              <w:b/>
              <w:sz w:val="24"/>
              <w:szCs w:val="24"/>
            </w:rPr>
          </w:pPr>
          <w:r>
            <w:fldChar w:fldCharType="begin"/>
          </w:r>
          <w:r>
            <w:instrText xml:space="preserve"> HYPERLINK \l "_Toc32280" </w:instrText>
          </w:r>
          <w:r>
            <w:fldChar w:fldCharType="separate"/>
          </w:r>
          <w:r>
            <w:rPr>
              <w:rFonts w:hint="eastAsia" w:ascii="宋体" w:hAnsi="宋体" w:eastAsia="宋体" w:cs="宋体"/>
              <w:b/>
              <w:kern w:val="44"/>
              <w:sz w:val="24"/>
              <w:szCs w:val="24"/>
            </w:rPr>
            <w:t>十、实施保障</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_Toc32280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5"/>
            <w:tabs>
              <w:tab w:val="right" w:leader="dot" w:pos="8306"/>
            </w:tabs>
            <w:spacing w:line="360" w:lineRule="auto"/>
            <w:ind w:left="420"/>
            <w:rPr>
              <w:rFonts w:ascii="宋体" w:hAnsi="宋体" w:eastAsia="宋体" w:cs="宋体"/>
              <w:sz w:val="24"/>
              <w:szCs w:val="24"/>
            </w:rPr>
          </w:pPr>
          <w:r>
            <w:fldChar w:fldCharType="begin"/>
          </w:r>
          <w:r>
            <w:instrText xml:space="preserve"> HYPERLINK \l "_Toc31185" </w:instrText>
          </w:r>
          <w:r>
            <w:fldChar w:fldCharType="separate"/>
          </w:r>
          <w:r>
            <w:rPr>
              <w:rFonts w:hint="eastAsia" w:ascii="宋体" w:hAnsi="宋体" w:eastAsia="宋体" w:cs="宋体"/>
              <w:sz w:val="24"/>
              <w:szCs w:val="24"/>
            </w:rPr>
            <w:t>（一）师资队伍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_Toc31185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tabs>
              <w:tab w:val="right" w:leader="dot" w:pos="8306"/>
            </w:tabs>
            <w:spacing w:line="360" w:lineRule="auto"/>
            <w:ind w:left="420"/>
            <w:rPr>
              <w:rFonts w:ascii="宋体" w:hAnsi="宋体" w:eastAsia="宋体" w:cs="宋体"/>
              <w:sz w:val="24"/>
              <w:szCs w:val="24"/>
            </w:rPr>
          </w:pPr>
          <w:r>
            <w:fldChar w:fldCharType="begin"/>
          </w:r>
          <w:r>
            <w:instrText xml:space="preserve"> HYPERLINK \l "_Toc7804" </w:instrText>
          </w:r>
          <w:r>
            <w:fldChar w:fldCharType="separate"/>
          </w:r>
          <w:r>
            <w:rPr>
              <w:rFonts w:hint="eastAsia" w:ascii="宋体" w:hAnsi="宋体" w:eastAsia="宋体" w:cs="宋体"/>
              <w:sz w:val="24"/>
              <w:szCs w:val="24"/>
            </w:rPr>
            <w:t>（二）教学设施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_Toc7804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tabs>
              <w:tab w:val="right" w:leader="dot" w:pos="8306"/>
            </w:tabs>
            <w:spacing w:line="360" w:lineRule="auto"/>
            <w:ind w:left="420"/>
            <w:rPr>
              <w:rFonts w:ascii="宋体" w:hAnsi="宋体" w:eastAsia="宋体" w:cs="宋体"/>
              <w:sz w:val="24"/>
              <w:szCs w:val="24"/>
            </w:rPr>
          </w:pPr>
          <w:r>
            <w:fldChar w:fldCharType="begin"/>
          </w:r>
          <w:r>
            <w:instrText xml:space="preserve"> HYPERLINK \l "_Toc21561" </w:instrText>
          </w:r>
          <w:r>
            <w:fldChar w:fldCharType="separate"/>
          </w:r>
          <w:r>
            <w:rPr>
              <w:rFonts w:hint="eastAsia" w:ascii="宋体" w:hAnsi="宋体" w:eastAsia="宋体" w:cs="宋体"/>
              <w:sz w:val="24"/>
              <w:szCs w:val="24"/>
            </w:rPr>
            <w:t>（三）教学资源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_Toc21561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tabs>
              <w:tab w:val="right" w:leader="dot" w:pos="8306"/>
            </w:tabs>
            <w:spacing w:line="360" w:lineRule="auto"/>
            <w:ind w:left="420"/>
            <w:rPr>
              <w:rFonts w:ascii="宋体" w:hAnsi="宋体" w:eastAsia="宋体" w:cs="宋体"/>
              <w:sz w:val="24"/>
              <w:szCs w:val="24"/>
            </w:rPr>
          </w:pPr>
          <w:r>
            <w:fldChar w:fldCharType="begin"/>
          </w:r>
          <w:r>
            <w:instrText xml:space="preserve"> HYPERLINK \l "_Toc26072" </w:instrText>
          </w:r>
          <w:r>
            <w:fldChar w:fldCharType="separate"/>
          </w:r>
          <w:r>
            <w:rPr>
              <w:rFonts w:hint="eastAsia" w:ascii="宋体" w:hAnsi="宋体" w:eastAsia="宋体" w:cs="宋体"/>
              <w:sz w:val="24"/>
              <w:szCs w:val="24"/>
            </w:rPr>
            <w:t>（四）教学实施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_Toc26072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tabs>
              <w:tab w:val="right" w:leader="dot" w:pos="8306"/>
            </w:tabs>
            <w:spacing w:line="360" w:lineRule="auto"/>
            <w:ind w:left="420"/>
            <w:rPr>
              <w:rFonts w:ascii="宋体" w:hAnsi="宋体" w:eastAsia="宋体" w:cs="宋体"/>
              <w:sz w:val="24"/>
              <w:szCs w:val="24"/>
            </w:rPr>
          </w:pPr>
          <w:r>
            <w:fldChar w:fldCharType="begin"/>
          </w:r>
          <w:r>
            <w:instrText xml:space="preserve"> HYPERLINK \l "_Toc31079" </w:instrText>
          </w:r>
          <w:r>
            <w:fldChar w:fldCharType="separate"/>
          </w:r>
          <w:r>
            <w:rPr>
              <w:rFonts w:hint="eastAsia" w:ascii="宋体" w:hAnsi="宋体" w:eastAsia="宋体" w:cs="宋体"/>
              <w:sz w:val="24"/>
              <w:szCs w:val="24"/>
            </w:rPr>
            <w:t>（五）学习评价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_Toc31079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tabs>
              <w:tab w:val="right" w:leader="dot" w:pos="8306"/>
            </w:tabs>
            <w:spacing w:line="360" w:lineRule="auto"/>
            <w:ind w:left="420"/>
            <w:rPr>
              <w:rFonts w:ascii="宋体" w:hAnsi="宋体" w:eastAsia="宋体" w:cs="宋体"/>
              <w:sz w:val="24"/>
              <w:szCs w:val="24"/>
            </w:rPr>
          </w:pPr>
          <w:r>
            <w:fldChar w:fldCharType="begin"/>
          </w:r>
          <w:r>
            <w:instrText xml:space="preserve"> HYPERLINK \l "_Toc11671" </w:instrText>
          </w:r>
          <w:r>
            <w:fldChar w:fldCharType="separate"/>
          </w:r>
          <w:r>
            <w:rPr>
              <w:rFonts w:hint="eastAsia" w:ascii="宋体" w:hAnsi="宋体" w:eastAsia="宋体" w:cs="宋体"/>
              <w:sz w:val="24"/>
              <w:szCs w:val="24"/>
            </w:rPr>
            <w:t>（六）质量管理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_Toc11671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b/>
            </w:rPr>
          </w:pPr>
          <w:r>
            <w:fldChar w:fldCharType="begin"/>
          </w:r>
          <w:r>
            <w:instrText xml:space="preserve"> HYPERLINK \l "_Toc92" </w:instrText>
          </w:r>
          <w:r>
            <w:fldChar w:fldCharType="separate"/>
          </w:r>
          <w:r>
            <w:rPr>
              <w:rFonts w:hint="eastAsia" w:ascii="宋体" w:hAnsi="宋体" w:eastAsia="宋体" w:cs="宋体"/>
              <w:b/>
              <w:kern w:val="44"/>
              <w:sz w:val="24"/>
              <w:szCs w:val="24"/>
            </w:rPr>
            <w:t>十一、毕业要求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_Toc92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23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widowControl/>
            <w:spacing w:line="288" w:lineRule="auto"/>
            <w:jc w:val="center"/>
            <w:rPr>
              <w:b/>
              <w:bCs/>
              <w:sz w:val="40"/>
              <w:szCs w:val="40"/>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b/>
              <w:bCs/>
              <w:szCs w:val="40"/>
            </w:rPr>
            <w:fldChar w:fldCharType="end"/>
          </w:r>
        </w:p>
      </w:sdtContent>
    </w:sdt>
    <w:p>
      <w:pPr>
        <w:widowControl/>
        <w:spacing w:line="288" w:lineRule="auto"/>
        <w:jc w:val="center"/>
        <w:outlineLvl w:val="0"/>
      </w:pPr>
      <w:bookmarkStart w:id="7" w:name="_Toc25849"/>
      <w:r>
        <w:rPr>
          <w:rFonts w:hint="eastAsia"/>
          <w:b/>
          <w:bCs/>
          <w:sz w:val="40"/>
          <w:szCs w:val="40"/>
        </w:rPr>
        <w:t>旅游服务与管理专业人才培养方案</w:t>
      </w:r>
      <w:bookmarkEnd w:id="1"/>
      <w:bookmarkEnd w:id="2"/>
      <w:bookmarkEnd w:id="7"/>
    </w:p>
    <w:p>
      <w:pPr>
        <w:keepNext/>
        <w:keepLines/>
        <w:numPr>
          <w:ilvl w:val="0"/>
          <w:numId w:val="2"/>
        </w:numPr>
        <w:spacing w:beforeLines="30" w:afterLines="30" w:line="460" w:lineRule="exact"/>
        <w:ind w:firstLine="602" w:firstLineChars="200"/>
        <w:outlineLvl w:val="0"/>
        <w:rPr>
          <w:rFonts w:eastAsia="黑体"/>
          <w:b/>
          <w:kern w:val="44"/>
          <w:sz w:val="30"/>
        </w:rPr>
      </w:pPr>
      <w:bookmarkStart w:id="8" w:name="_Toc6406"/>
      <w:bookmarkStart w:id="9" w:name="_Toc29014"/>
      <w:bookmarkStart w:id="10" w:name="_Toc9825"/>
      <w:bookmarkStart w:id="11" w:name="_Toc24625"/>
      <w:r>
        <w:rPr>
          <w:rFonts w:hint="eastAsia" w:eastAsia="黑体"/>
          <w:b/>
          <w:kern w:val="44"/>
          <w:sz w:val="30"/>
        </w:rPr>
        <w:t>专业名称及代码</w:t>
      </w:r>
      <w:bookmarkEnd w:id="8"/>
      <w:bookmarkEnd w:id="9"/>
      <w:bookmarkEnd w:id="10"/>
      <w:bookmarkEnd w:id="11"/>
    </w:p>
    <w:p>
      <w:pPr>
        <w:spacing w:line="460" w:lineRule="exact"/>
        <w:ind w:firstLine="480" w:firstLineChars="200"/>
        <w:rPr>
          <w:rFonts w:ascii="宋体" w:hAnsi="宋体" w:eastAsia="宋体" w:cs="宋体"/>
          <w:sz w:val="24"/>
          <w:szCs w:val="22"/>
        </w:rPr>
      </w:pPr>
      <w:r>
        <w:rPr>
          <w:rFonts w:hint="eastAsia" w:ascii="宋体" w:hAnsi="宋体" w:eastAsia="宋体" w:cs="宋体"/>
          <w:sz w:val="24"/>
          <w:szCs w:val="22"/>
        </w:rPr>
        <w:t>旅游服务与管理（740101）</w:t>
      </w:r>
    </w:p>
    <w:p>
      <w:pPr>
        <w:keepNext/>
        <w:keepLines/>
        <w:numPr>
          <w:ilvl w:val="0"/>
          <w:numId w:val="2"/>
        </w:numPr>
        <w:spacing w:beforeLines="30" w:afterLines="30" w:line="460" w:lineRule="exact"/>
        <w:ind w:firstLine="602" w:firstLineChars="200"/>
        <w:outlineLvl w:val="0"/>
        <w:rPr>
          <w:rFonts w:eastAsia="黑体"/>
          <w:b/>
          <w:kern w:val="44"/>
          <w:sz w:val="30"/>
        </w:rPr>
      </w:pPr>
      <w:bookmarkStart w:id="12" w:name="_Toc1924"/>
      <w:bookmarkStart w:id="13" w:name="_Toc4585"/>
      <w:bookmarkStart w:id="14" w:name="_Toc26684"/>
      <w:bookmarkStart w:id="15" w:name="_Toc21556"/>
      <w:r>
        <w:rPr>
          <w:rFonts w:hint="eastAsia" w:eastAsia="黑体"/>
          <w:b/>
          <w:kern w:val="44"/>
          <w:sz w:val="30"/>
        </w:rPr>
        <w:t>入学要求</w:t>
      </w:r>
      <w:bookmarkEnd w:id="12"/>
      <w:bookmarkEnd w:id="13"/>
      <w:bookmarkEnd w:id="14"/>
      <w:bookmarkEnd w:id="15"/>
    </w:p>
    <w:p>
      <w:pPr>
        <w:spacing w:line="460" w:lineRule="exact"/>
        <w:ind w:firstLine="480" w:firstLineChars="200"/>
        <w:rPr>
          <w:rFonts w:ascii="宋体" w:hAnsi="宋体" w:eastAsia="宋体" w:cs="宋体"/>
          <w:sz w:val="24"/>
          <w:szCs w:val="22"/>
        </w:rPr>
      </w:pPr>
      <w:bookmarkStart w:id="16" w:name="_Toc22724"/>
      <w:bookmarkStart w:id="17" w:name="_Toc9182"/>
      <w:bookmarkStart w:id="18" w:name="_Toc20115"/>
      <w:r>
        <w:rPr>
          <w:rFonts w:hint="eastAsia" w:ascii="宋体" w:hAnsi="宋体" w:eastAsia="宋体" w:cs="宋体"/>
          <w:sz w:val="24"/>
          <w:szCs w:val="22"/>
        </w:rPr>
        <w:t>初级中等学校毕业或具备同等学力</w:t>
      </w:r>
      <w:bookmarkEnd w:id="16"/>
      <w:bookmarkEnd w:id="17"/>
      <w:bookmarkEnd w:id="18"/>
    </w:p>
    <w:p>
      <w:pPr>
        <w:keepNext/>
        <w:keepLines/>
        <w:numPr>
          <w:ilvl w:val="0"/>
          <w:numId w:val="2"/>
        </w:numPr>
        <w:spacing w:beforeLines="30" w:afterLines="30" w:line="460" w:lineRule="exact"/>
        <w:ind w:firstLine="602" w:firstLineChars="200"/>
        <w:outlineLvl w:val="0"/>
        <w:rPr>
          <w:rFonts w:eastAsia="黑体"/>
          <w:b/>
          <w:kern w:val="44"/>
          <w:sz w:val="30"/>
        </w:rPr>
      </w:pPr>
      <w:bookmarkStart w:id="19" w:name="_Toc6344"/>
      <w:r>
        <w:rPr>
          <w:rFonts w:hint="eastAsia" w:eastAsia="黑体"/>
          <w:b/>
          <w:kern w:val="44"/>
          <w:sz w:val="30"/>
        </w:rPr>
        <w:t>修业年限</w:t>
      </w:r>
      <w:bookmarkEnd w:id="19"/>
    </w:p>
    <w:p>
      <w:pPr>
        <w:spacing w:line="460" w:lineRule="exact"/>
        <w:ind w:firstLine="480" w:firstLineChars="200"/>
        <w:rPr>
          <w:rFonts w:ascii="宋体" w:hAnsi="宋体" w:eastAsia="宋体" w:cs="宋体"/>
          <w:sz w:val="24"/>
          <w:szCs w:val="22"/>
        </w:rPr>
      </w:pPr>
      <w:r>
        <w:rPr>
          <w:rFonts w:hint="eastAsia" w:ascii="宋体" w:hAnsi="宋体" w:eastAsia="宋体" w:cs="宋体"/>
          <w:sz w:val="24"/>
          <w:szCs w:val="22"/>
        </w:rPr>
        <w:t>三年</w:t>
      </w:r>
    </w:p>
    <w:p>
      <w:pPr>
        <w:keepNext/>
        <w:keepLines/>
        <w:numPr>
          <w:ilvl w:val="0"/>
          <w:numId w:val="2"/>
        </w:numPr>
        <w:spacing w:beforeLines="100" w:afterLines="30" w:line="460" w:lineRule="exact"/>
        <w:ind w:firstLine="602" w:firstLineChars="200"/>
        <w:outlineLvl w:val="0"/>
        <w:rPr>
          <w:rFonts w:eastAsia="黑体"/>
          <w:b/>
          <w:kern w:val="44"/>
          <w:sz w:val="30"/>
        </w:rPr>
      </w:pPr>
      <w:bookmarkStart w:id="20" w:name="_Toc12594"/>
      <w:bookmarkStart w:id="21" w:name="_Toc5473"/>
      <w:bookmarkStart w:id="22" w:name="_Toc24550"/>
      <w:bookmarkStart w:id="23" w:name="_Toc28297"/>
      <w:r>
        <w:rPr>
          <w:rFonts w:hint="eastAsia" w:eastAsia="黑体"/>
          <w:b/>
          <w:kern w:val="44"/>
          <w:sz w:val="30"/>
        </w:rPr>
        <w:t>培养目标</w:t>
      </w:r>
      <w:bookmarkEnd w:id="20"/>
      <w:bookmarkEnd w:id="21"/>
      <w:bookmarkEnd w:id="22"/>
      <w:r>
        <w:rPr>
          <w:rFonts w:hint="eastAsia" w:eastAsia="黑体"/>
          <w:b/>
          <w:kern w:val="44"/>
          <w:sz w:val="30"/>
        </w:rPr>
        <w:t>与培养规格</w:t>
      </w:r>
      <w:bookmarkEnd w:id="23"/>
    </w:p>
    <w:p>
      <w:pPr>
        <w:pStyle w:val="4"/>
        <w:numPr>
          <w:ilvl w:val="0"/>
          <w:numId w:val="3"/>
        </w:numPr>
        <w:spacing w:before="93" w:after="93"/>
        <w:ind w:firstLineChars="0"/>
      </w:pPr>
      <w:bookmarkStart w:id="24" w:name="_Toc24927"/>
      <w:r>
        <w:rPr>
          <w:rFonts w:hint="eastAsia"/>
        </w:rPr>
        <w:t>培养目标</w:t>
      </w:r>
      <w:bookmarkEnd w:id="24"/>
    </w:p>
    <w:p>
      <w:pPr>
        <w:spacing w:before="72" w:line="360" w:lineRule="auto"/>
        <w:ind w:firstLine="480" w:firstLineChars="200"/>
        <w:rPr>
          <w:rFonts w:ascii="宋体" w:hAnsi="宋体" w:eastAsia="宋体" w:cs="宋体"/>
          <w:sz w:val="24"/>
          <w:szCs w:val="22"/>
        </w:rPr>
      </w:pPr>
      <w:bookmarkStart w:id="25" w:name="_Toc4745"/>
      <w:bookmarkStart w:id="26" w:name="_Toc22177"/>
      <w:bookmarkStart w:id="27" w:name="_Toc6263"/>
      <w:bookmarkStart w:id="28" w:name="_Toc26792"/>
      <w:r>
        <w:rPr>
          <w:rFonts w:hint="eastAsia" w:ascii="宋体" w:hAnsi="宋体" w:eastAsia="宋体" w:cs="宋体"/>
          <w:sz w:val="24"/>
          <w:szCs w:val="22"/>
        </w:rPr>
        <w:t>本专业主要培养面向珠三角、粤西地区旅游服务类及本地区旅游行业企业，具有良好的职业道德和行为规范，掌握旅游服务与管理知识、前厅服务、旅游社导游业务等技能，以职业类高考和考取“导游证”为主要学习方向，并能在各类旅游服务行业企业从事前厅服务、导游服务等一线工作的高素质劳动者和中级技能型人才，并为高等职业院校输送优秀毕业生。</w:t>
      </w:r>
    </w:p>
    <w:p>
      <w:pPr>
        <w:pStyle w:val="4"/>
        <w:numPr>
          <w:ilvl w:val="0"/>
          <w:numId w:val="3"/>
        </w:numPr>
        <w:spacing w:before="93" w:after="93"/>
        <w:ind w:firstLineChars="0"/>
      </w:pPr>
      <w:r>
        <w:rPr>
          <w:rFonts w:hint="eastAsia"/>
        </w:rPr>
        <w:t>培养规格</w:t>
      </w:r>
      <w:bookmarkEnd w:id="25"/>
    </w:p>
    <w:bookmarkEnd w:id="26"/>
    <w:bookmarkEnd w:id="27"/>
    <w:bookmarkEnd w:id="28"/>
    <w:p>
      <w:pPr>
        <w:spacing w:line="460" w:lineRule="exact"/>
        <w:ind w:firstLine="480" w:firstLineChars="200"/>
        <w:rPr>
          <w:rFonts w:ascii="宋体" w:hAnsi="宋体" w:eastAsia="宋体" w:cs="宋体"/>
          <w:sz w:val="24"/>
          <w:szCs w:val="22"/>
        </w:rPr>
      </w:pPr>
      <w:bookmarkStart w:id="29" w:name="_Toc25813"/>
      <w:bookmarkStart w:id="30" w:name="_Toc19603"/>
      <w:bookmarkStart w:id="31" w:name="_Toc20715"/>
      <w:bookmarkStart w:id="32" w:name="_Toc4519"/>
      <w:r>
        <w:rPr>
          <w:rFonts w:hint="eastAsia" w:ascii="宋体" w:hAnsi="宋体" w:eastAsia="宋体" w:cs="宋体"/>
          <w:sz w:val="24"/>
          <w:szCs w:val="22"/>
        </w:rPr>
        <w:t>1.坚定拥护中国共产党领导和中国特色社会主义制度，以习近平新时代中国特色社会主义思想为指导，践行社会主义核心价值观，具有坚定的理想信念、深厚的爱国情感和中华民族自豪感；</w:t>
      </w:r>
    </w:p>
    <w:p>
      <w:pPr>
        <w:spacing w:line="460" w:lineRule="exact"/>
        <w:ind w:firstLine="480" w:firstLineChars="200"/>
        <w:rPr>
          <w:rFonts w:ascii="宋体" w:hAnsi="宋体" w:eastAsia="宋体" w:cs="宋体"/>
          <w:sz w:val="24"/>
          <w:szCs w:val="22"/>
        </w:rPr>
      </w:pPr>
      <w:r>
        <w:rPr>
          <w:rFonts w:hint="eastAsia" w:ascii="宋体" w:hAnsi="宋体" w:eastAsia="宋体" w:cs="宋体"/>
          <w:sz w:val="24"/>
          <w:szCs w:val="22"/>
        </w:rPr>
        <w:t>2.掌握与本专业从事职业活动相关的国家法律、行业规定，掌握安全防护、质量管理等相关知识与技能，遵守职业道德准则和行为规范，具备社会责任感和担当精神；</w:t>
      </w:r>
    </w:p>
    <w:p>
      <w:pPr>
        <w:adjustRightInd w:val="0"/>
        <w:snapToGrid w:val="0"/>
        <w:spacing w:line="360" w:lineRule="auto"/>
        <w:ind w:firstLine="480" w:firstLineChars="200"/>
        <w:jc w:val="left"/>
        <w:rPr>
          <w:rFonts w:ascii="宋体" w:hAnsi="宋体" w:eastAsia="宋体" w:cs="宋体"/>
          <w:sz w:val="24"/>
          <w:szCs w:val="22"/>
        </w:rPr>
      </w:pPr>
      <w:bookmarkStart w:id="33" w:name="_Toc421211149"/>
      <w:bookmarkStart w:id="34" w:name="_Toc423458251"/>
      <w:bookmarkStart w:id="35" w:name="_Toc425766608"/>
      <w:bookmarkStart w:id="36" w:name="_Toc4600"/>
      <w:r>
        <w:rPr>
          <w:rFonts w:hint="eastAsia" w:ascii="宋体" w:hAnsi="宋体" w:eastAsia="宋体" w:cs="宋体"/>
          <w:sz w:val="24"/>
          <w:szCs w:val="22"/>
        </w:rPr>
        <w:t>3</w:t>
      </w:r>
      <w:r>
        <w:rPr>
          <w:rFonts w:ascii="宋体" w:hAnsi="宋体" w:eastAsia="宋体" w:cs="宋体"/>
          <w:sz w:val="24"/>
          <w:szCs w:val="22"/>
        </w:rPr>
        <w:t>.</w:t>
      </w:r>
      <w:r>
        <w:rPr>
          <w:rFonts w:hint="eastAsia" w:ascii="宋体" w:hAnsi="宋体" w:eastAsia="宋体" w:cs="宋体"/>
          <w:sz w:val="24"/>
          <w:szCs w:val="22"/>
        </w:rPr>
        <w:t>具有良好的道德品质和职业信誉，爱岗敬业、遵纪守法，具有健康的身体和心理，具有创新精神和服务意识。</w:t>
      </w:r>
    </w:p>
    <w:p>
      <w:pPr>
        <w:adjustRightInd w:val="0"/>
        <w:snapToGrid w:val="0"/>
        <w:spacing w:line="360" w:lineRule="auto"/>
        <w:ind w:firstLine="480" w:firstLineChars="200"/>
        <w:jc w:val="left"/>
        <w:rPr>
          <w:rFonts w:ascii="宋体" w:hAnsi="宋体" w:eastAsia="宋体" w:cs="宋体"/>
          <w:sz w:val="24"/>
          <w:szCs w:val="22"/>
        </w:rPr>
      </w:pPr>
      <w:r>
        <w:rPr>
          <w:rFonts w:ascii="宋体" w:hAnsi="宋体" w:eastAsia="宋体" w:cs="宋体"/>
          <w:sz w:val="24"/>
          <w:szCs w:val="22"/>
        </w:rPr>
        <w:t>4.</w:t>
      </w:r>
      <w:r>
        <w:rPr>
          <w:rFonts w:hint="eastAsia" w:ascii="宋体" w:hAnsi="宋体" w:eastAsia="宋体" w:cs="宋体"/>
          <w:sz w:val="24"/>
          <w:szCs w:val="22"/>
        </w:rPr>
        <w:t>具有人际交往与团队协作能力，具有获取信息、学习新知识的能力。</w:t>
      </w:r>
    </w:p>
    <w:p>
      <w:pPr>
        <w:adjustRightInd w:val="0"/>
        <w:snapToGrid w:val="0"/>
        <w:spacing w:line="360" w:lineRule="auto"/>
        <w:ind w:firstLine="480" w:firstLineChars="200"/>
        <w:jc w:val="left"/>
        <w:rPr>
          <w:rFonts w:ascii="宋体" w:hAnsi="宋体" w:eastAsia="宋体" w:cs="宋体"/>
          <w:sz w:val="24"/>
          <w:szCs w:val="22"/>
        </w:rPr>
      </w:pPr>
      <w:r>
        <w:rPr>
          <w:rFonts w:hint="eastAsia" w:ascii="宋体" w:hAnsi="宋体" w:eastAsia="宋体" w:cs="宋体"/>
          <w:sz w:val="24"/>
          <w:szCs w:val="22"/>
        </w:rPr>
        <w:t>5</w:t>
      </w:r>
      <w:r>
        <w:rPr>
          <w:rFonts w:ascii="宋体" w:hAnsi="宋体" w:eastAsia="宋体" w:cs="宋体"/>
          <w:sz w:val="24"/>
          <w:szCs w:val="22"/>
        </w:rPr>
        <w:t>.</w:t>
      </w:r>
      <w:r>
        <w:rPr>
          <w:rFonts w:hint="eastAsia" w:ascii="宋体" w:hAnsi="宋体" w:eastAsia="宋体" w:cs="宋体"/>
          <w:sz w:val="24"/>
          <w:szCs w:val="22"/>
        </w:rPr>
        <w:t>具有借助词典阅读外文技术资料的能力，具有遵守操作规程的意识。具有一定的计算机操作能力，具有查阅专业技能的基本能力。</w:t>
      </w:r>
    </w:p>
    <w:p>
      <w:pPr>
        <w:adjustRightInd w:val="0"/>
        <w:snapToGrid w:val="0"/>
        <w:spacing w:line="360" w:lineRule="auto"/>
        <w:ind w:firstLine="480" w:firstLineChars="200"/>
        <w:jc w:val="left"/>
        <w:rPr>
          <w:rFonts w:ascii="宋体" w:hAnsi="宋体" w:eastAsia="宋体" w:cs="宋体"/>
          <w:sz w:val="24"/>
          <w:szCs w:val="22"/>
        </w:rPr>
      </w:pPr>
      <w:r>
        <w:rPr>
          <w:rFonts w:hint="eastAsia" w:ascii="宋体" w:hAnsi="宋体" w:eastAsia="宋体" w:cs="宋体"/>
          <w:sz w:val="24"/>
          <w:szCs w:val="22"/>
        </w:rPr>
        <w:t>6</w:t>
      </w:r>
      <w:r>
        <w:rPr>
          <w:rFonts w:ascii="宋体" w:hAnsi="宋体" w:eastAsia="宋体" w:cs="宋体"/>
          <w:sz w:val="24"/>
          <w:szCs w:val="22"/>
        </w:rPr>
        <w:t>.</w:t>
      </w:r>
      <w:r>
        <w:rPr>
          <w:rFonts w:hint="eastAsia" w:ascii="宋体" w:hAnsi="宋体" w:eastAsia="宋体" w:cs="宋体"/>
          <w:sz w:val="24"/>
          <w:szCs w:val="22"/>
        </w:rPr>
        <w:t>具有一定的服务意识、规范意识、主动意识和责任意识。</w:t>
      </w:r>
    </w:p>
    <w:bookmarkEnd w:id="33"/>
    <w:bookmarkEnd w:id="34"/>
    <w:bookmarkEnd w:id="35"/>
    <w:p>
      <w:pPr>
        <w:adjustRightInd w:val="0"/>
        <w:snapToGrid w:val="0"/>
        <w:spacing w:line="360" w:lineRule="auto"/>
        <w:ind w:left="660" w:leftChars="200" w:hanging="240" w:hangingChars="100"/>
        <w:jc w:val="left"/>
        <w:rPr>
          <w:rFonts w:ascii="宋体" w:hAnsi="宋体" w:eastAsia="宋体" w:cs="宋体"/>
          <w:sz w:val="24"/>
          <w:szCs w:val="22"/>
        </w:rPr>
      </w:pPr>
      <w:r>
        <w:rPr>
          <w:rFonts w:hint="eastAsia" w:ascii="宋体" w:hAnsi="宋体" w:eastAsia="宋体" w:cs="宋体"/>
          <w:sz w:val="24"/>
          <w:szCs w:val="22"/>
        </w:rPr>
        <w:t>7</w:t>
      </w:r>
      <w:r>
        <w:rPr>
          <w:rFonts w:ascii="宋体" w:hAnsi="宋体" w:eastAsia="宋体" w:cs="宋体"/>
          <w:sz w:val="24"/>
          <w:szCs w:val="22"/>
        </w:rPr>
        <w:t>.</w:t>
      </w:r>
      <w:r>
        <w:rPr>
          <w:rFonts w:hint="eastAsia" w:ascii="宋体" w:hAnsi="宋体" w:eastAsia="宋体" w:cs="宋体"/>
          <w:sz w:val="24"/>
          <w:szCs w:val="22"/>
        </w:rPr>
        <w:t>掌握全国导游基础知识、地方导游基础知识、导游业务、旅游英语、旅行社业务等专业基础知识，在职业岗位中，将知识与技能结合。</w:t>
      </w:r>
    </w:p>
    <w:p>
      <w:pPr>
        <w:adjustRightInd w:val="0"/>
        <w:snapToGrid w:val="0"/>
        <w:spacing w:line="360" w:lineRule="auto"/>
        <w:ind w:firstLine="480" w:firstLineChars="200"/>
        <w:jc w:val="left"/>
        <w:rPr>
          <w:rFonts w:ascii="宋体" w:hAnsi="宋体" w:eastAsia="宋体" w:cs="宋体"/>
          <w:sz w:val="24"/>
          <w:szCs w:val="22"/>
        </w:rPr>
      </w:pPr>
      <w:r>
        <w:rPr>
          <w:rFonts w:hint="eastAsia" w:ascii="宋体" w:hAnsi="宋体" w:eastAsia="宋体" w:cs="宋体"/>
          <w:sz w:val="24"/>
          <w:szCs w:val="22"/>
        </w:rPr>
        <w:t>8</w:t>
      </w:r>
      <w:r>
        <w:rPr>
          <w:rFonts w:ascii="宋体" w:hAnsi="宋体" w:eastAsia="宋体" w:cs="宋体"/>
          <w:sz w:val="24"/>
          <w:szCs w:val="22"/>
        </w:rPr>
        <w:t>.</w:t>
      </w:r>
      <w:r>
        <w:rPr>
          <w:rFonts w:hint="eastAsia" w:ascii="宋体" w:hAnsi="宋体" w:eastAsia="宋体" w:cs="宋体"/>
          <w:sz w:val="24"/>
          <w:szCs w:val="22"/>
        </w:rPr>
        <w:t>精通标准的普通话和运用一定肢体语言的交际服务技能，具有良好的口语交际能力和沟通能力、服务能力，运用于带团过程，使用优美的语言和健康的肢体动作，帮助提升带团质量。</w:t>
      </w:r>
    </w:p>
    <w:p>
      <w:pPr>
        <w:adjustRightInd w:val="0"/>
        <w:snapToGrid w:val="0"/>
        <w:spacing w:line="360" w:lineRule="auto"/>
        <w:ind w:firstLine="480" w:firstLineChars="200"/>
        <w:jc w:val="left"/>
        <w:rPr>
          <w:rFonts w:ascii="宋体" w:hAnsi="宋体" w:eastAsia="宋体" w:cs="宋体"/>
          <w:sz w:val="24"/>
          <w:szCs w:val="22"/>
        </w:rPr>
      </w:pPr>
      <w:r>
        <w:rPr>
          <w:rFonts w:hint="eastAsia" w:ascii="宋体" w:hAnsi="宋体" w:eastAsia="宋体" w:cs="宋体"/>
          <w:sz w:val="24"/>
          <w:szCs w:val="22"/>
        </w:rPr>
        <w:t>9</w:t>
      </w:r>
      <w:r>
        <w:rPr>
          <w:rFonts w:ascii="宋体" w:hAnsi="宋体" w:eastAsia="宋体" w:cs="宋体"/>
          <w:sz w:val="24"/>
          <w:szCs w:val="22"/>
        </w:rPr>
        <w:t>.</w:t>
      </w:r>
      <w:r>
        <w:rPr>
          <w:rFonts w:hint="eastAsia" w:ascii="宋体" w:hAnsi="宋体" w:eastAsia="宋体" w:cs="宋体"/>
          <w:sz w:val="24"/>
          <w:szCs w:val="22"/>
        </w:rPr>
        <w:t>掌握正确带团流程的业务能力和上岗服务能力，正确取得导游证，掌握相关旅游政策法规的基本知识和导游员工作应急处理能力，相关旅游法律知识，依法上岗。</w:t>
      </w:r>
    </w:p>
    <w:p>
      <w:pPr>
        <w:adjustRightInd w:val="0"/>
        <w:snapToGrid w:val="0"/>
        <w:spacing w:line="360" w:lineRule="auto"/>
        <w:ind w:firstLine="480" w:firstLineChars="200"/>
        <w:jc w:val="left"/>
        <w:rPr>
          <w:rFonts w:ascii="宋体" w:hAnsi="宋体" w:eastAsia="宋体" w:cs="宋体"/>
          <w:sz w:val="24"/>
          <w:szCs w:val="22"/>
        </w:rPr>
      </w:pPr>
      <w:r>
        <w:rPr>
          <w:rFonts w:hint="eastAsia" w:ascii="宋体" w:hAnsi="宋体" w:eastAsia="宋体" w:cs="宋体"/>
          <w:sz w:val="24"/>
          <w:szCs w:val="22"/>
        </w:rPr>
        <w:t>10</w:t>
      </w:r>
      <w:r>
        <w:rPr>
          <w:rFonts w:ascii="宋体" w:hAnsi="宋体" w:eastAsia="宋体" w:cs="宋体"/>
          <w:sz w:val="24"/>
          <w:szCs w:val="22"/>
        </w:rPr>
        <w:t>.</w:t>
      </w:r>
      <w:r>
        <w:rPr>
          <w:rFonts w:hint="eastAsia" w:ascii="宋体" w:hAnsi="宋体" w:eastAsia="宋体" w:cs="宋体"/>
          <w:sz w:val="24"/>
          <w:szCs w:val="22"/>
        </w:rPr>
        <w:t>具有掌握相关茶艺操作的能力。</w:t>
      </w:r>
    </w:p>
    <w:p>
      <w:pPr>
        <w:keepNext/>
        <w:keepLines/>
        <w:numPr>
          <w:ilvl w:val="0"/>
          <w:numId w:val="2"/>
        </w:numPr>
        <w:spacing w:beforeLines="30" w:afterLines="30" w:line="460" w:lineRule="exact"/>
        <w:ind w:firstLine="602" w:firstLineChars="200"/>
        <w:outlineLvl w:val="0"/>
        <w:rPr>
          <w:rFonts w:eastAsia="黑体"/>
          <w:b/>
          <w:kern w:val="44"/>
          <w:sz w:val="30"/>
        </w:rPr>
      </w:pPr>
      <w:r>
        <w:rPr>
          <w:rFonts w:hint="eastAsia" w:eastAsia="黑体"/>
          <w:b/>
          <w:kern w:val="44"/>
          <w:sz w:val="30"/>
        </w:rPr>
        <w:t>升学继续专业</w:t>
      </w:r>
      <w:bookmarkEnd w:id="36"/>
    </w:p>
    <w:p>
      <w:pPr>
        <w:spacing w:line="460" w:lineRule="exact"/>
        <w:ind w:firstLine="480" w:firstLineChars="200"/>
        <w:rPr>
          <w:rFonts w:ascii="宋体" w:hAnsi="宋体" w:eastAsia="宋体" w:cs="宋体"/>
          <w:sz w:val="24"/>
          <w:szCs w:val="22"/>
        </w:rPr>
      </w:pPr>
      <w:r>
        <w:rPr>
          <w:rFonts w:hint="eastAsia" w:ascii="宋体" w:hAnsi="宋体" w:eastAsia="宋体" w:cs="宋体"/>
          <w:sz w:val="24"/>
          <w:szCs w:val="22"/>
        </w:rPr>
        <w:t>接续高职专业举例：旅游服务与管理、高星级饭店运营与管理。</w:t>
      </w:r>
    </w:p>
    <w:p>
      <w:pPr>
        <w:keepNext/>
        <w:keepLines/>
        <w:numPr>
          <w:ilvl w:val="0"/>
          <w:numId w:val="2"/>
        </w:numPr>
        <w:spacing w:beforeLines="30" w:afterLines="30" w:line="460" w:lineRule="exact"/>
        <w:ind w:firstLine="602" w:firstLineChars="200"/>
        <w:outlineLvl w:val="0"/>
        <w:rPr>
          <w:rFonts w:eastAsia="黑体"/>
          <w:b/>
          <w:kern w:val="44"/>
          <w:sz w:val="30"/>
        </w:rPr>
      </w:pPr>
      <w:bookmarkStart w:id="37" w:name="_Toc2833"/>
      <w:r>
        <w:rPr>
          <w:rFonts w:hint="eastAsia" w:eastAsia="黑体"/>
          <w:b/>
          <w:kern w:val="44"/>
          <w:sz w:val="30"/>
        </w:rPr>
        <w:t>课程设置及要求</w:t>
      </w:r>
      <w:bookmarkEnd w:id="29"/>
      <w:bookmarkEnd w:id="30"/>
      <w:bookmarkEnd w:id="31"/>
      <w:bookmarkEnd w:id="32"/>
      <w:bookmarkEnd w:id="37"/>
    </w:p>
    <w:p>
      <w:pPr>
        <w:spacing w:line="460" w:lineRule="exact"/>
        <w:ind w:firstLine="480" w:firstLineChars="200"/>
        <w:rPr>
          <w:rFonts w:ascii="宋体" w:hAnsi="宋体" w:eastAsia="宋体" w:cs="宋体"/>
          <w:sz w:val="24"/>
          <w:szCs w:val="22"/>
        </w:rPr>
      </w:pPr>
      <w:r>
        <w:rPr>
          <w:rFonts w:hint="eastAsia" w:ascii="宋体" w:hAnsi="宋体" w:eastAsia="宋体" w:cs="宋体"/>
          <w:sz w:val="24"/>
          <w:szCs w:val="22"/>
        </w:rPr>
        <w:t>本专业课程设置分为公共基础课程和专业课程。</w:t>
      </w:r>
    </w:p>
    <w:p>
      <w:pPr>
        <w:spacing w:line="460" w:lineRule="exact"/>
        <w:ind w:firstLine="480" w:firstLineChars="200"/>
        <w:rPr>
          <w:rFonts w:ascii="宋体" w:hAnsi="宋体" w:eastAsia="宋体" w:cs="宋体"/>
          <w:sz w:val="24"/>
          <w:szCs w:val="22"/>
        </w:rPr>
      </w:pPr>
      <w:r>
        <w:rPr>
          <w:rFonts w:hint="eastAsia" w:ascii="宋体" w:hAnsi="宋体" w:eastAsia="宋体" w:cs="宋体"/>
          <w:sz w:val="24"/>
          <w:szCs w:val="22"/>
        </w:rPr>
        <w:t>公共基础课程包括根据学生全面发展需要，设置军训及入学教育、劳动与行为习惯养成教育、习近平新时代读本、中国特色社会主义、心理健康与职业生涯、哲学与人生、职业道德与法治、信息技术、历史、公共艺术（音乐）、公共艺术（美术）、体育与健康、语文、数学、英语等必修课程，还包括根据学生发展设置的中华传统文化选修课程。</w:t>
      </w:r>
    </w:p>
    <w:p>
      <w:pPr>
        <w:spacing w:line="460" w:lineRule="exact"/>
        <w:ind w:firstLine="480" w:firstLineChars="200"/>
        <w:rPr>
          <w:rFonts w:ascii="宋体" w:hAnsi="宋体" w:eastAsia="宋体" w:cs="宋体"/>
          <w:sz w:val="24"/>
          <w:szCs w:val="22"/>
        </w:rPr>
      </w:pPr>
      <w:r>
        <w:rPr>
          <w:rFonts w:hint="eastAsia" w:ascii="宋体" w:hAnsi="宋体" w:eastAsia="宋体" w:cs="宋体"/>
          <w:sz w:val="24"/>
          <w:szCs w:val="22"/>
        </w:rPr>
        <w:t>专业课程包括专业基础课程、专业核心课程、专业拓展课程，并涵盖实训等有关实践性教学环节。</w:t>
      </w:r>
    </w:p>
    <w:p>
      <w:pPr>
        <w:pStyle w:val="4"/>
        <w:numPr>
          <w:ilvl w:val="0"/>
          <w:numId w:val="4"/>
        </w:numPr>
        <w:spacing w:before="93" w:after="93"/>
        <w:ind w:firstLineChars="0"/>
      </w:pPr>
      <w:bookmarkStart w:id="38" w:name="_Toc26889"/>
      <w:r>
        <w:rPr>
          <w:rFonts w:hint="eastAsia"/>
        </w:rPr>
        <w:t>公共基础课程教学内容及要求</w:t>
      </w:r>
      <w:bookmarkEnd w:id="38"/>
    </w:p>
    <w:tbl>
      <w:tblPr>
        <w:tblStyle w:val="20"/>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课程名称</w:t>
            </w:r>
          </w:p>
        </w:tc>
        <w:tc>
          <w:tcPr>
            <w:tcW w:w="617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教学内容及要求</w:t>
            </w:r>
          </w:p>
        </w:tc>
        <w:tc>
          <w:tcPr>
            <w:tcW w:w="113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lang w:val="zh-CN"/>
              </w:rPr>
              <w:t>军训及入学</w:t>
            </w:r>
          </w:p>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lang w:val="zh-CN"/>
              </w:rPr>
              <w:t>教育</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bCs/>
                <w:szCs w:val="21"/>
              </w:rPr>
              <w:t>依据中等职业学校军训及入学教育相关要求开设，通过本课程的学习，提高学生的政治觉悟，激发爱国热情，发扬革命英雄主义精神，培养艰苦奋斗、刻苦耐劳的坚强毅力和集体主义精神，养成良好的学风和生活作风，引导学生适应校园生活，帮助学校了解学校、了解专业、了解学习的内容和目的。</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rPr>
              <w:t>劳动与行为</w:t>
            </w:r>
          </w:p>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rPr>
              <w:t>习惯养成教育</w:t>
            </w:r>
          </w:p>
        </w:tc>
        <w:tc>
          <w:tcPr>
            <w:tcW w:w="6170" w:type="dxa"/>
            <w:vAlign w:val="center"/>
          </w:tcPr>
          <w:p>
            <w:pPr>
              <w:autoSpaceDE w:val="0"/>
              <w:autoSpaceDN w:val="0"/>
              <w:adjustRightInd w:val="0"/>
              <w:spacing w:line="330" w:lineRule="exact"/>
              <w:ind w:firstLine="420" w:firstLineChars="200"/>
              <w:jc w:val="left"/>
              <w:rPr>
                <w:rFonts w:ascii="宋体" w:hAnsi="宋体" w:eastAsia="宋体" w:cs="宋体"/>
                <w:szCs w:val="21"/>
                <w:lang w:val="zh-CN"/>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rPr>
              <w:t>落实</w:t>
            </w:r>
            <w:r>
              <w:rPr>
                <w:rFonts w:hint="eastAsia" w:ascii="宋体" w:hAnsi="宋体" w:eastAsia="宋体" w:cs="宋体"/>
                <w:szCs w:val="21"/>
                <w:lang w:val="zh-CN"/>
              </w:rPr>
              <w:t>立德树人根本任务，学生在工农业生产过程中直接经历物质财富的创造过程，体验从简单劳动、原始劳动向复杂劳动、创造性劳动的发展过程，学会使用工具，掌握相关技术，感受劳动创造价值，增强产品质量意识，体会平凡劳动中的伟大。</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rPr>
              <w:t>习近平新时代读本</w:t>
            </w:r>
          </w:p>
        </w:tc>
        <w:tc>
          <w:tcPr>
            <w:tcW w:w="6170" w:type="dxa"/>
            <w:vAlign w:val="center"/>
          </w:tcPr>
          <w:p>
            <w:pPr>
              <w:autoSpaceDE w:val="0"/>
              <w:autoSpaceDN w:val="0"/>
              <w:adjustRightInd w:val="0"/>
              <w:spacing w:line="330" w:lineRule="exact"/>
              <w:ind w:firstLine="420" w:firstLineChars="200"/>
              <w:jc w:val="left"/>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rPr>
              <w:t>落实</w:t>
            </w:r>
            <w:r>
              <w:rPr>
                <w:rFonts w:hint="eastAsia" w:ascii="宋体" w:hAnsi="宋体" w:eastAsia="宋体" w:cs="宋体"/>
                <w:szCs w:val="21"/>
                <w:lang w:val="zh-CN"/>
              </w:rPr>
              <w:t>立德树人根本任务，</w:t>
            </w:r>
            <w:r>
              <w:rPr>
                <w:rFonts w:hint="eastAsia" w:ascii="宋体" w:hAnsi="宋体" w:cs="宋体"/>
                <w:szCs w:val="21"/>
              </w:rPr>
              <w:t>通过本课程的学习，学生能不断深化对习近平新时代中国特色社会主义思想的系统认识，逐步形成对拥护党的领导和社会主义制度、坚持和发展中国特色社会主义的认同、自信和自觉。</w:t>
            </w:r>
          </w:p>
        </w:tc>
        <w:tc>
          <w:tcPr>
            <w:tcW w:w="1130" w:type="dxa"/>
            <w:vAlign w:val="center"/>
          </w:tcPr>
          <w:p>
            <w:pPr>
              <w:spacing w:line="330" w:lineRule="exact"/>
              <w:jc w:val="center"/>
              <w:rPr>
                <w:rFonts w:ascii="宋体" w:hAnsi="宋体" w:eastAsia="宋体" w:cs="宋体"/>
                <w:szCs w:val="21"/>
              </w:rPr>
            </w:pPr>
            <w:r>
              <w:rPr>
                <w:rFonts w:hint="eastAsia" w:ascii="宋体" w:hAnsi="宋体" w:cs="宋体"/>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lang w:val="zh-CN"/>
              </w:rPr>
              <w:t>中国特色</w:t>
            </w:r>
          </w:p>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lang w:val="zh-CN"/>
              </w:rPr>
              <w:t>社会主义</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lang w:val="zh-CN"/>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w:t>
            </w:r>
            <w:r>
              <w:rPr>
                <w:rFonts w:hint="eastAsia" w:ascii="宋体" w:hAnsi="宋体" w:eastAsia="宋体" w:cs="宋体"/>
                <w:szCs w:val="21"/>
              </w:rPr>
              <w:t>通过本课程的学习，</w:t>
            </w:r>
            <w:r>
              <w:rPr>
                <w:rFonts w:hint="eastAsia" w:ascii="宋体" w:hAnsi="宋体" w:eastAsia="宋体" w:cs="宋体"/>
                <w:szCs w:val="21"/>
                <w:lang w:val="zh-CN"/>
              </w:rPr>
              <w:t>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之本、成才之基，在新时代新征程中健康成长、成才报国。</w:t>
            </w:r>
          </w:p>
        </w:tc>
        <w:tc>
          <w:tcPr>
            <w:tcW w:w="1130" w:type="dxa"/>
            <w:vAlign w:val="center"/>
          </w:tcPr>
          <w:p>
            <w:pPr>
              <w:spacing w:line="330" w:lineRule="exact"/>
              <w:jc w:val="center"/>
              <w:rPr>
                <w:rFonts w:ascii="宋体" w:hAnsi="宋体" w:eastAsia="宋体" w:cs="宋体"/>
                <w:szCs w:val="21"/>
              </w:rPr>
            </w:pPr>
            <w:r>
              <w:rPr>
                <w:rFonts w:hint="eastAsia" w:ascii="宋体" w:hAnsi="宋体" w:cs="宋体"/>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lang w:val="zh-CN"/>
              </w:rPr>
              <w:t>心理健康与</w:t>
            </w:r>
          </w:p>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lang w:val="zh-CN"/>
              </w:rPr>
              <w:t>职业生涯</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w:t>
            </w:r>
            <w:r>
              <w:rPr>
                <w:rFonts w:hint="eastAsia" w:ascii="宋体" w:hAnsi="宋体" w:eastAsia="宋体" w:cs="宋体"/>
                <w:szCs w:val="21"/>
              </w:rPr>
              <w:t>通过本课程的学习，</w:t>
            </w:r>
            <w:r>
              <w:rPr>
                <w:rFonts w:hint="eastAsia" w:ascii="宋体" w:hAnsi="宋体" w:eastAsia="宋体" w:cs="宋体"/>
                <w:szCs w:val="21"/>
                <w:lang w:val="zh-CN"/>
              </w:rPr>
              <w:t>学生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定和执行职业生涯规划的方法，提升职业素养，为顺利就业创业创造条件。</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lang w:val="zh-CN"/>
              </w:rPr>
              <w:t>哲学与人生</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rPr>
              <w:t>通过本课程的学习，</w:t>
            </w:r>
            <w:r>
              <w:rPr>
                <w:rFonts w:hint="eastAsia" w:ascii="宋体" w:hAnsi="宋体" w:eastAsia="宋体" w:cs="宋体"/>
                <w:szCs w:val="21"/>
                <w:lang w:val="zh-CN"/>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lang w:val="zh-CN"/>
              </w:rPr>
              <w:t>职业道德与</w:t>
            </w:r>
          </w:p>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lang w:val="zh-CN"/>
              </w:rPr>
              <w:t>法治</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rPr>
              <w:t>通过本课程的学习，</w:t>
            </w:r>
            <w:r>
              <w:rPr>
                <w:rFonts w:hint="eastAsia" w:ascii="宋体" w:hAnsi="宋体" w:eastAsia="宋体" w:cs="宋体"/>
                <w:szCs w:val="21"/>
                <w:lang w:val="zh-CN"/>
              </w:rPr>
              <w:t>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lang w:val="zh-CN"/>
              </w:rPr>
              <w:t>信息技术</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在义务教育的基础上，通过理论知识学习、基础技能训练和综合应用实践，培养学生符合时代要求的信息素养和适应职业发展需要的信息能力。</w:t>
            </w:r>
          </w:p>
        </w:tc>
        <w:tc>
          <w:tcPr>
            <w:tcW w:w="1130" w:type="dxa"/>
            <w:vAlign w:val="center"/>
          </w:tcPr>
          <w:p>
            <w:pPr>
              <w:spacing w:line="330" w:lineRule="exact"/>
              <w:jc w:val="center"/>
              <w:rPr>
                <w:rFonts w:ascii="宋体" w:hAnsi="宋体" w:eastAsia="宋体" w:cs="宋体"/>
                <w:szCs w:val="21"/>
              </w:rPr>
            </w:pPr>
            <w:r>
              <w:rPr>
                <w:rFonts w:hint="eastAsia" w:ascii="宋体" w:hAnsi="宋体" w:cs="宋体"/>
                <w:szCs w:val="21"/>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lang w:val="zh-CN"/>
              </w:rPr>
              <w:t>历史</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落实立德树人的根本任务，通过本课程</w:t>
            </w:r>
            <w:r>
              <w:rPr>
                <w:rFonts w:hint="eastAsia" w:ascii="宋体" w:hAnsi="宋体" w:eastAsia="宋体" w:cs="宋体"/>
                <w:szCs w:val="21"/>
              </w:rPr>
              <w:t>的</w:t>
            </w:r>
            <w:r>
              <w:rPr>
                <w:rFonts w:hint="eastAsia" w:ascii="宋体" w:hAnsi="宋体" w:eastAsia="宋体" w:cs="宋体"/>
                <w:szCs w:val="21"/>
                <w:lang w:val="zh-CN"/>
              </w:rPr>
              <w:t>学习，</w:t>
            </w:r>
            <w:r>
              <w:rPr>
                <w:rFonts w:hint="eastAsia" w:ascii="宋体" w:hAnsi="宋体" w:eastAsia="宋体" w:cs="宋体"/>
                <w:szCs w:val="21"/>
              </w:rPr>
              <w:t>使学生</w:t>
            </w:r>
            <w:r>
              <w:rPr>
                <w:rFonts w:hint="eastAsia" w:ascii="宋体" w:hAnsi="宋体" w:eastAsia="宋体" w:cs="宋体"/>
                <w:szCs w:val="21"/>
                <w:lang w:val="zh-CN"/>
              </w:rPr>
              <w:t>掌握必备的历史知识，形成历史学科核心素养。</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lang w:val="zh-CN"/>
              </w:rPr>
            </w:pPr>
            <w:r>
              <w:rPr>
                <w:rFonts w:hint="eastAsia" w:ascii="宋体" w:hAnsi="宋体" w:cs="宋体"/>
                <w:szCs w:val="21"/>
              </w:rPr>
              <w:t>公共</w:t>
            </w:r>
            <w:r>
              <w:rPr>
                <w:rFonts w:hint="eastAsia" w:ascii="宋体" w:hAnsi="宋体" w:eastAsia="宋体" w:cs="宋体"/>
                <w:szCs w:val="21"/>
                <w:lang w:val="zh-CN"/>
              </w:rPr>
              <w:t>艺术</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落实立德树人根本任务，学生通过艺术鉴赏与实践等活动，发展艺术感知、审美判断、创意表达和文化理解等艺术核心素养。</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lang w:val="zh-CN"/>
              </w:rPr>
              <w:t>体育与健康</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落实立德树人的根本任务，以体育人，增强学生体质，通过本课程</w:t>
            </w:r>
            <w:r>
              <w:rPr>
                <w:rFonts w:hint="eastAsia" w:ascii="宋体" w:hAnsi="宋体" w:eastAsia="宋体" w:cs="宋体"/>
                <w:szCs w:val="21"/>
              </w:rPr>
              <w:t>的</w:t>
            </w:r>
            <w:r>
              <w:rPr>
                <w:rFonts w:hint="eastAsia" w:ascii="宋体" w:hAnsi="宋体" w:eastAsia="宋体" w:cs="宋体"/>
                <w:szCs w:val="21"/>
                <w:lang w:val="zh-CN"/>
              </w:rPr>
              <w:t>学习，帮助学生在体育锻炼中享受乐趣、增强体质、健全人格、锤炼意志，使学生在运动能力、健康行为和体育精神三方面获得全面发展。</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lang w:val="zh-CN"/>
              </w:rPr>
              <w:t>语文</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落实立德树人根本任务，</w:t>
            </w:r>
            <w:r>
              <w:rPr>
                <w:rFonts w:hint="eastAsia" w:ascii="宋体" w:hAnsi="宋体" w:eastAsia="宋体" w:cs="宋体"/>
                <w:szCs w:val="21"/>
              </w:rPr>
              <w:t>通过本课程的学习，学生</w:t>
            </w:r>
            <w:r>
              <w:rPr>
                <w:rFonts w:hint="eastAsia" w:ascii="宋体" w:hAnsi="宋体" w:eastAsia="宋体" w:cs="宋体"/>
                <w:szCs w:val="21"/>
                <w:lang w:val="zh-CN"/>
              </w:rPr>
              <w:t>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lang w:val="zh-CN"/>
              </w:rPr>
              <w:t>数学</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落实立德树人根本任务，</w:t>
            </w:r>
            <w:r>
              <w:rPr>
                <w:rFonts w:hint="eastAsia" w:ascii="宋体" w:hAnsi="宋体" w:eastAsia="宋体" w:cs="宋体"/>
                <w:szCs w:val="21"/>
              </w:rPr>
              <w:t>通过本课程的学习，</w:t>
            </w:r>
            <w:r>
              <w:rPr>
                <w:rFonts w:hint="eastAsia" w:ascii="宋体" w:hAnsi="宋体" w:eastAsia="宋体" w:cs="宋体"/>
                <w:szCs w:val="21"/>
                <w:lang w:val="zh-CN"/>
              </w:rPr>
              <w:t>学生获得继续学习、未来工作和发展所必需的数学基础知识、基本技能、基本思想和基本活动经验，</w:t>
            </w:r>
            <w:r>
              <w:rPr>
                <w:rFonts w:hint="eastAsia" w:ascii="宋体" w:hAnsi="宋体" w:eastAsia="宋体" w:cs="宋体"/>
                <w:szCs w:val="21"/>
              </w:rPr>
              <w:t>具备</w:t>
            </w:r>
            <w:r>
              <w:rPr>
                <w:rFonts w:hint="eastAsia" w:ascii="宋体" w:hAnsi="宋体" w:eastAsia="宋体" w:cs="宋体"/>
                <w:szCs w:val="21"/>
                <w:lang w:val="zh-CN"/>
              </w:rPr>
              <w:t>从数学角度发现和提出问题的能力、运用数学知识和思想方法分析和解决问题的能力。</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lang w:val="zh-CN"/>
              </w:rPr>
              <w:t>英语</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落实立德树人根本任务，在义务教育的基础上，</w:t>
            </w:r>
            <w:r>
              <w:rPr>
                <w:rFonts w:hint="eastAsia" w:ascii="宋体" w:hAnsi="宋体" w:eastAsia="宋体" w:cs="宋体"/>
                <w:szCs w:val="21"/>
              </w:rPr>
              <w:t>通过本课程的学习，</w:t>
            </w:r>
            <w:r>
              <w:rPr>
                <w:rFonts w:hint="eastAsia" w:ascii="宋体" w:hAnsi="宋体" w:eastAsia="宋体" w:cs="宋体"/>
                <w:szCs w:val="21"/>
                <w:lang w:val="zh-CN"/>
              </w:rPr>
              <w:t>进一步激发学生英语学习的兴趣，帮助学生掌握基础知识和基本技能，发展英语学科核心素养，为学生的职业生涯、继续学习和终身发展奠定基础。</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144</w:t>
            </w:r>
          </w:p>
        </w:tc>
      </w:tr>
    </w:tbl>
    <w:p>
      <w:pPr>
        <w:pStyle w:val="4"/>
        <w:numPr>
          <w:ilvl w:val="0"/>
          <w:numId w:val="4"/>
        </w:numPr>
        <w:spacing w:before="93" w:after="93"/>
        <w:ind w:firstLineChars="0"/>
      </w:pPr>
      <w:bookmarkStart w:id="39" w:name="_Toc9486"/>
      <w:r>
        <w:rPr>
          <w:rFonts w:hint="eastAsia"/>
        </w:rPr>
        <w:t>专业课程教学内容及要求</w:t>
      </w:r>
      <w:bookmarkEnd w:id="39"/>
    </w:p>
    <w:p>
      <w:pPr>
        <w:keepNext/>
        <w:keepLines/>
        <w:spacing w:beforeLines="30" w:afterLines="30" w:line="460" w:lineRule="exact"/>
        <w:ind w:left="420" w:leftChars="200"/>
        <w:outlineLvl w:val="2"/>
        <w:rPr>
          <w:rFonts w:ascii="宋体" w:hAnsi="宋体" w:eastAsia="宋体" w:cs="宋体"/>
          <w:b/>
        </w:rPr>
      </w:pPr>
      <w:r>
        <w:rPr>
          <w:rFonts w:hint="eastAsia" w:ascii="宋体" w:hAnsi="宋体" w:eastAsia="宋体" w:cs="宋体"/>
          <w:b/>
        </w:rPr>
        <w:t>1. 专业基础课</w:t>
      </w:r>
    </w:p>
    <w:tbl>
      <w:tblPr>
        <w:tblStyle w:val="20"/>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课程名称</w:t>
            </w:r>
          </w:p>
        </w:tc>
        <w:tc>
          <w:tcPr>
            <w:tcW w:w="617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教学内容及要求</w:t>
            </w:r>
          </w:p>
        </w:tc>
        <w:tc>
          <w:tcPr>
            <w:tcW w:w="113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spacing w:before="72"/>
              <w:jc w:val="center"/>
            </w:pPr>
            <w:r>
              <w:rPr>
                <w:rFonts w:hint="eastAsia"/>
              </w:rPr>
              <w:t>形体与礼仪</w:t>
            </w:r>
          </w:p>
        </w:tc>
        <w:tc>
          <w:tcPr>
            <w:tcW w:w="6170" w:type="dxa"/>
            <w:vAlign w:val="center"/>
          </w:tcPr>
          <w:p>
            <w:pPr>
              <w:spacing w:before="72"/>
              <w:ind w:firstLine="210" w:firstLineChars="100"/>
            </w:pPr>
            <w:r>
              <w:rPr>
                <w:rFonts w:hint="eastAsia"/>
              </w:rPr>
              <w:t>明确礼仪的重要性, 掌握礼仪的特征、作用和原则；理解礼仪与道德之间的关系；了解职业学校学生的礼仪规范；掌握坐、立、行、走的基本礼仪；注重容貌、服饰、语言的规范性；掌握礼仪修养的途径和方法，使学生能自觉地以正确的礼貌礼节来约束自身的行为，从而培养学生在社会交往、为人处世方面的公关能力和职业习惯。</w:t>
            </w:r>
          </w:p>
        </w:tc>
        <w:tc>
          <w:tcPr>
            <w:tcW w:w="1130" w:type="dxa"/>
            <w:vAlign w:val="center"/>
          </w:tcPr>
          <w:p>
            <w:pPr>
              <w:spacing w:before="72"/>
              <w:jc w:val="center"/>
            </w:pPr>
            <w:r>
              <w:rPr>
                <w:rFonts w:hint="eastAsia"/>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91" w:type="dxa"/>
            <w:vAlign w:val="center"/>
          </w:tcPr>
          <w:p>
            <w:pPr>
              <w:spacing w:before="72"/>
              <w:jc w:val="center"/>
            </w:pPr>
            <w:r>
              <w:rPr>
                <w:rFonts w:hint="eastAsia"/>
              </w:rPr>
              <w:t>普通话</w:t>
            </w:r>
          </w:p>
        </w:tc>
        <w:tc>
          <w:tcPr>
            <w:tcW w:w="6170" w:type="dxa"/>
            <w:vAlign w:val="center"/>
          </w:tcPr>
          <w:p>
            <w:pPr>
              <w:spacing w:before="72"/>
              <w:ind w:firstLine="210" w:firstLineChars="100"/>
            </w:pPr>
            <w:r>
              <w:rPr>
                <w:rFonts w:hint="eastAsia"/>
              </w:rPr>
              <w:t>普通话是中华人民共和国的国家通用语言，是现代汉语的规范语言，以普通话语音训练贯穿整体，充分调动学生学习的积极性和主动性，提高学生的普通话水平。</w:t>
            </w:r>
          </w:p>
        </w:tc>
        <w:tc>
          <w:tcPr>
            <w:tcW w:w="1130" w:type="dxa"/>
            <w:vAlign w:val="center"/>
          </w:tcPr>
          <w:p>
            <w:pPr>
              <w:widowControl/>
              <w:jc w:val="center"/>
              <w:textAlignment w:val="center"/>
            </w:pPr>
            <w:r>
              <w:rPr>
                <w:rFonts w:hint="eastAsia"/>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spacing w:before="72"/>
              <w:jc w:val="center"/>
            </w:pPr>
            <w:r>
              <w:rPr>
                <w:rFonts w:hint="eastAsia"/>
              </w:rPr>
              <w:t>旅游概论</w:t>
            </w:r>
          </w:p>
        </w:tc>
        <w:tc>
          <w:tcPr>
            <w:tcW w:w="6170" w:type="dxa"/>
            <w:vAlign w:val="center"/>
          </w:tcPr>
          <w:p>
            <w:pPr>
              <w:spacing w:before="72"/>
              <w:ind w:firstLine="210" w:firstLineChars="100"/>
            </w:pPr>
            <w:r>
              <w:rPr>
                <w:rFonts w:hint="eastAsia"/>
              </w:rPr>
              <w:t>渗透职业道德、服务意识教育，体现就业导向。从认识旅游开始，以旅游发展的实践为基础，从旅游者、旅游资源、旅游业、旅游市场的角度分析总结旅游发展的逻辑性和合理性，从而发现其活动规律，掌握旅游业的发展趋势。</w:t>
            </w:r>
          </w:p>
          <w:p>
            <w:pPr>
              <w:spacing w:before="72"/>
              <w:ind w:firstLine="210" w:firstLineChars="100"/>
            </w:pPr>
          </w:p>
        </w:tc>
        <w:tc>
          <w:tcPr>
            <w:tcW w:w="1130" w:type="dxa"/>
            <w:vAlign w:val="center"/>
          </w:tcPr>
          <w:p>
            <w:pPr>
              <w:spacing w:before="72"/>
              <w:jc w:val="center"/>
            </w:pPr>
            <w:r>
              <w:rPr>
                <w:rFonts w:hint="eastAsia"/>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spacing w:before="72"/>
            </w:pPr>
            <w:r>
              <w:rPr>
                <w:rFonts w:hint="eastAsia"/>
              </w:rPr>
              <w:t>茶艺与酒水知识</w:t>
            </w:r>
          </w:p>
        </w:tc>
        <w:tc>
          <w:tcPr>
            <w:tcW w:w="6170" w:type="dxa"/>
          </w:tcPr>
          <w:p>
            <w:pPr>
              <w:spacing w:before="93"/>
              <w:ind w:firstLine="210" w:firstLineChars="100"/>
            </w:pPr>
            <w:r>
              <w:rPr>
                <w:rFonts w:hint="eastAsia"/>
              </w:rPr>
              <w:t>学生能识茶、懂茶、会表现茶，能向客人阐述茶叶的历史、生产、品质、鉴别并推介；能介绍茶叶的保健功能；能通过茶艺阐述和演绎中国茶文化、中国茶艺的有关理论、精神与内涵，从而宣传茶文化，展示茶品牌。以及介绍中国菜，宴会的种类，现代流行烹制法和大众口味的变化，外国菜，中点和西点，中国酒和外国酒，常见饮料等内容。</w:t>
            </w:r>
          </w:p>
        </w:tc>
        <w:tc>
          <w:tcPr>
            <w:tcW w:w="1130" w:type="dxa"/>
            <w:vAlign w:val="center"/>
          </w:tcPr>
          <w:p>
            <w:pPr>
              <w:spacing w:before="93"/>
              <w:jc w:val="center"/>
            </w:pPr>
            <w:r>
              <w:rPr>
                <w:rFonts w:hint="eastAsia"/>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spacing w:before="72"/>
            </w:pPr>
            <w:r>
              <w:rPr>
                <w:rFonts w:hint="eastAsia"/>
              </w:rPr>
              <w:t>中国旅游地理</w:t>
            </w:r>
          </w:p>
        </w:tc>
        <w:tc>
          <w:tcPr>
            <w:tcW w:w="6170" w:type="dxa"/>
          </w:tcPr>
          <w:p>
            <w:pPr>
              <w:spacing w:before="72"/>
              <w:ind w:firstLine="210" w:firstLineChars="100"/>
            </w:pPr>
            <w:r>
              <w:rPr>
                <w:rFonts w:hint="eastAsia"/>
              </w:rPr>
              <w:t>以学生为主体、以能力为本位，注重实用知识的传播，适应现代旅游发展需要，体现培养学生职业能力和综合素质的目标，通过设立旅游线路设计和案例探究能力，进行情景教学，提高学生的实际动手能力。</w:t>
            </w:r>
          </w:p>
        </w:tc>
        <w:tc>
          <w:tcPr>
            <w:tcW w:w="1130" w:type="dxa"/>
            <w:vAlign w:val="center"/>
          </w:tcPr>
          <w:p>
            <w:pPr>
              <w:spacing w:before="72"/>
              <w:jc w:val="center"/>
            </w:pPr>
            <w:r>
              <w:rPr>
                <w:rFonts w:hint="eastAsia"/>
              </w:rPr>
              <w:t>72</w:t>
            </w:r>
          </w:p>
        </w:tc>
      </w:tr>
    </w:tbl>
    <w:p>
      <w:pPr>
        <w:rPr>
          <w:rFonts w:ascii="宋体" w:hAnsi="宋体" w:eastAsia="宋体" w:cs="宋体"/>
          <w:b/>
        </w:rPr>
      </w:pPr>
    </w:p>
    <w:p>
      <w:pPr>
        <w:keepNext/>
        <w:keepLines/>
        <w:spacing w:beforeLines="30" w:afterLines="30" w:line="460" w:lineRule="exact"/>
        <w:ind w:left="420" w:leftChars="200"/>
        <w:outlineLvl w:val="2"/>
        <w:rPr>
          <w:rFonts w:ascii="宋体" w:hAnsi="宋体" w:eastAsia="宋体" w:cs="宋体"/>
          <w:b/>
        </w:rPr>
      </w:pPr>
      <w:r>
        <w:rPr>
          <w:rFonts w:hint="eastAsia" w:ascii="宋体" w:hAnsi="宋体" w:eastAsia="宋体" w:cs="宋体"/>
          <w:b/>
        </w:rPr>
        <w:t>2.专业核心课</w:t>
      </w:r>
    </w:p>
    <w:tbl>
      <w:tblPr>
        <w:tblStyle w:val="20"/>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课程名称</w:t>
            </w:r>
          </w:p>
        </w:tc>
        <w:tc>
          <w:tcPr>
            <w:tcW w:w="617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教学内容及要求</w:t>
            </w:r>
          </w:p>
        </w:tc>
        <w:tc>
          <w:tcPr>
            <w:tcW w:w="113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spacing w:before="72"/>
              <w:jc w:val="center"/>
              <w:rPr>
                <w:rFonts w:ascii="宋体" w:hAnsi="宋体" w:eastAsia="宋体" w:cs="宋体"/>
                <w:color w:val="000000"/>
                <w:szCs w:val="21"/>
              </w:rPr>
            </w:pPr>
            <w:r>
              <w:rPr>
                <w:rFonts w:hint="eastAsia" w:ascii="宋体" w:hAnsi="宋体" w:eastAsia="宋体" w:cs="宋体"/>
                <w:color w:val="000000"/>
                <w:szCs w:val="21"/>
              </w:rPr>
              <w:t>全国导游基础知识</w:t>
            </w:r>
          </w:p>
        </w:tc>
        <w:tc>
          <w:tcPr>
            <w:tcW w:w="6170" w:type="dxa"/>
            <w:vAlign w:val="center"/>
          </w:tcPr>
          <w:p>
            <w:pPr>
              <w:spacing w:before="72"/>
              <w:ind w:firstLine="210" w:firstLineChars="100"/>
              <w:rPr>
                <w:rFonts w:ascii="宋体" w:hAnsi="宋体" w:eastAsia="宋体" w:cs="宋体"/>
                <w:color w:val="000000"/>
                <w:szCs w:val="21"/>
              </w:rPr>
            </w:pPr>
            <w:r>
              <w:rPr>
                <w:rFonts w:hint="eastAsia" w:ascii="宋体" w:hAnsi="宋体" w:eastAsia="宋体" w:cs="宋体"/>
                <w:color w:val="000000"/>
                <w:szCs w:val="21"/>
              </w:rPr>
              <w:t>掌握全国各地的自然旅游资源和人文旅游资源的分布、特色、著名旅游景点，提高学生对当地旅游资源的熟悉程度，掌握当地著名的自然景观、历史遗址、著名历史事件、传统文化等知识，并能将之应用到实际工作中。</w:t>
            </w:r>
          </w:p>
        </w:tc>
        <w:tc>
          <w:tcPr>
            <w:tcW w:w="1130" w:type="dxa"/>
            <w:vAlign w:val="center"/>
          </w:tcPr>
          <w:p>
            <w:pPr>
              <w:spacing w:before="72"/>
              <w:jc w:val="center"/>
              <w:rPr>
                <w:rFonts w:ascii="宋体" w:hAnsi="宋体" w:eastAsia="宋体" w:cs="宋体"/>
                <w:color w:val="000000"/>
                <w:szCs w:val="21"/>
              </w:rPr>
            </w:pPr>
            <w:r>
              <w:rPr>
                <w:rFonts w:hint="eastAsia" w:ascii="宋体" w:hAnsi="宋体" w:eastAsia="宋体" w:cs="宋体"/>
                <w:color w:val="000000"/>
                <w:szCs w:val="21"/>
              </w:rPr>
              <w:t>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spacing w:before="72"/>
              <w:jc w:val="center"/>
              <w:rPr>
                <w:rFonts w:ascii="宋体" w:hAnsi="宋体" w:eastAsia="宋体" w:cs="宋体"/>
                <w:color w:val="000000"/>
                <w:szCs w:val="21"/>
              </w:rPr>
            </w:pPr>
            <w:r>
              <w:rPr>
                <w:rFonts w:hint="eastAsia" w:ascii="宋体" w:hAnsi="宋体" w:eastAsia="宋体" w:cs="宋体"/>
                <w:color w:val="000000"/>
                <w:szCs w:val="21"/>
              </w:rPr>
              <w:t>地方导游基础知识</w:t>
            </w:r>
          </w:p>
        </w:tc>
        <w:tc>
          <w:tcPr>
            <w:tcW w:w="6170" w:type="dxa"/>
            <w:vAlign w:val="center"/>
          </w:tcPr>
          <w:p>
            <w:pPr>
              <w:spacing w:before="72"/>
              <w:ind w:firstLine="210" w:firstLineChars="100"/>
              <w:rPr>
                <w:rFonts w:ascii="宋体" w:hAnsi="宋体" w:eastAsia="宋体" w:cs="宋体"/>
                <w:color w:val="000000"/>
                <w:szCs w:val="21"/>
              </w:rPr>
            </w:pPr>
            <w:r>
              <w:rPr>
                <w:rFonts w:hint="eastAsia" w:ascii="宋体" w:hAnsi="宋体" w:eastAsia="宋体" w:cs="宋体"/>
                <w:color w:val="000000"/>
                <w:szCs w:val="21"/>
              </w:rPr>
              <w:t>掌握所属地方的自然旅游资源和人文旅游资源的分布、特色、著名旅游景点，提高学生对当地旅游资源的熟悉程度，掌握当地著名的自然景观、历史遗址、著名历史事件、传统文化等知识，并能将之应用到实际工作中。</w:t>
            </w:r>
          </w:p>
        </w:tc>
        <w:tc>
          <w:tcPr>
            <w:tcW w:w="1130" w:type="dxa"/>
            <w:vAlign w:val="center"/>
          </w:tcPr>
          <w:p>
            <w:pPr>
              <w:spacing w:before="72"/>
              <w:jc w:val="center"/>
              <w:rPr>
                <w:rFonts w:ascii="宋体" w:hAnsi="宋体" w:eastAsia="宋体" w:cs="宋体"/>
                <w:color w:val="000000"/>
                <w:szCs w:val="21"/>
              </w:rPr>
            </w:pPr>
            <w:r>
              <w:rPr>
                <w:rFonts w:hint="eastAsia" w:ascii="宋体" w:hAnsi="宋体" w:eastAsia="宋体" w:cs="宋体"/>
                <w:color w:val="000000"/>
                <w:szCs w:val="21"/>
              </w:rPr>
              <w:t>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spacing w:before="72"/>
              <w:jc w:val="center"/>
              <w:rPr>
                <w:rFonts w:ascii="宋体" w:hAnsi="宋体" w:eastAsia="宋体" w:cs="宋体"/>
                <w:color w:val="000000"/>
                <w:szCs w:val="21"/>
              </w:rPr>
            </w:pPr>
            <w:r>
              <w:rPr>
                <w:rFonts w:hint="eastAsia" w:ascii="宋体" w:hAnsi="宋体" w:eastAsia="宋体" w:cs="宋体"/>
                <w:color w:val="000000"/>
                <w:szCs w:val="21"/>
              </w:rPr>
              <w:t>旅游英语</w:t>
            </w:r>
          </w:p>
        </w:tc>
        <w:tc>
          <w:tcPr>
            <w:tcW w:w="6170" w:type="dxa"/>
            <w:vAlign w:val="center"/>
          </w:tcPr>
          <w:p>
            <w:pPr>
              <w:spacing w:before="72"/>
              <w:ind w:firstLine="210" w:firstLineChars="100"/>
              <w:rPr>
                <w:rFonts w:ascii="宋体" w:hAnsi="宋体" w:eastAsia="宋体" w:cs="宋体"/>
                <w:color w:val="000000"/>
                <w:szCs w:val="21"/>
              </w:rPr>
            </w:pPr>
            <w:r>
              <w:rPr>
                <w:rFonts w:hint="eastAsia" w:ascii="宋体" w:hAnsi="宋体" w:eastAsia="宋体" w:cs="宋体"/>
                <w:color w:val="000000"/>
                <w:szCs w:val="21"/>
              </w:rPr>
              <w:t>在吃、住、行、游、购、娱六大部分的总体框架下，将不同的岗位划分为模块，以服务流程为主线，培养具体服务技能的同时提高学生使用旅游英语的能力，重点放在听说能力的培养，使学生获得更对的互动和参与机会，通过情境练习，为学生提供更多的口语锻炼机会。</w:t>
            </w:r>
          </w:p>
        </w:tc>
        <w:tc>
          <w:tcPr>
            <w:tcW w:w="1130" w:type="dxa"/>
            <w:vAlign w:val="center"/>
          </w:tcPr>
          <w:p>
            <w:pPr>
              <w:spacing w:before="72"/>
              <w:jc w:val="center"/>
              <w:rPr>
                <w:rFonts w:ascii="宋体" w:hAnsi="宋体" w:eastAsia="宋体" w:cs="宋体"/>
                <w:color w:val="000000"/>
                <w:szCs w:val="21"/>
              </w:rPr>
            </w:pPr>
            <w:r>
              <w:rPr>
                <w:rFonts w:hint="eastAsia" w:ascii="宋体" w:hAnsi="宋体" w:eastAsia="宋体" w:cs="宋体"/>
                <w:color w:val="000000"/>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spacing w:before="72"/>
              <w:jc w:val="center"/>
              <w:rPr>
                <w:rFonts w:ascii="宋体" w:hAnsi="宋体" w:eastAsia="宋体" w:cs="宋体"/>
                <w:color w:val="000000"/>
                <w:szCs w:val="21"/>
              </w:rPr>
            </w:pPr>
            <w:r>
              <w:rPr>
                <w:rFonts w:hint="eastAsia" w:ascii="宋体" w:hAnsi="宋体" w:eastAsia="宋体" w:cs="宋体"/>
                <w:color w:val="000000"/>
                <w:szCs w:val="21"/>
              </w:rPr>
              <w:t>政策法规</w:t>
            </w:r>
          </w:p>
        </w:tc>
        <w:tc>
          <w:tcPr>
            <w:tcW w:w="6170" w:type="dxa"/>
            <w:vAlign w:val="center"/>
          </w:tcPr>
          <w:p>
            <w:pPr>
              <w:spacing w:before="72"/>
              <w:ind w:firstLine="210" w:firstLineChars="100"/>
              <w:rPr>
                <w:rFonts w:ascii="宋体" w:hAnsi="宋体" w:eastAsia="宋体" w:cs="宋体"/>
                <w:color w:val="000000"/>
                <w:szCs w:val="21"/>
              </w:rPr>
            </w:pPr>
            <w:r>
              <w:rPr>
                <w:rFonts w:hint="eastAsia" w:ascii="宋体" w:hAnsi="宋体" w:eastAsia="宋体" w:cs="宋体"/>
                <w:color w:val="000000"/>
                <w:szCs w:val="21"/>
              </w:rPr>
              <w:t>掌握旅行社管理、导游人员管理、旅游安全管理、旅游出入境管理等相关的政策、法规及条例的内容。提高学生的方针政策水平，增强其法律意识，为将来做好旅行社服务与基层管理工作打下基础。</w:t>
            </w:r>
          </w:p>
          <w:p>
            <w:pPr>
              <w:spacing w:before="72"/>
              <w:ind w:firstLine="210" w:firstLineChars="100"/>
              <w:rPr>
                <w:rFonts w:ascii="宋体" w:hAnsi="宋体" w:eastAsia="宋体" w:cs="宋体"/>
                <w:color w:val="000000"/>
                <w:szCs w:val="21"/>
              </w:rPr>
            </w:pPr>
          </w:p>
        </w:tc>
        <w:tc>
          <w:tcPr>
            <w:tcW w:w="1130" w:type="dxa"/>
            <w:vAlign w:val="center"/>
          </w:tcPr>
          <w:p>
            <w:pPr>
              <w:spacing w:before="72"/>
              <w:jc w:val="center"/>
              <w:rPr>
                <w:rFonts w:ascii="宋体" w:hAnsi="宋体" w:eastAsia="宋体" w:cs="宋体"/>
                <w:color w:val="000000"/>
                <w:szCs w:val="21"/>
              </w:rPr>
            </w:pPr>
            <w:r>
              <w:rPr>
                <w:rFonts w:hint="eastAsia" w:ascii="宋体" w:hAnsi="宋体" w:eastAsia="宋体" w:cs="宋体"/>
                <w:color w:val="000000"/>
                <w:szCs w:val="21"/>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widowControl/>
              <w:spacing w:line="320" w:lineRule="exact"/>
              <w:jc w:val="center"/>
              <w:textAlignment w:val="center"/>
              <w:rPr>
                <w:rFonts w:ascii="宋体" w:hAnsi="宋体" w:eastAsia="宋体" w:cs="宋体"/>
                <w:color w:val="000000"/>
                <w:szCs w:val="21"/>
              </w:rPr>
            </w:pPr>
            <w:r>
              <w:rPr>
                <w:rFonts w:hint="eastAsia" w:ascii="宋体" w:hAnsi="宋体" w:eastAsia="宋体" w:cs="宋体"/>
                <w:color w:val="000000"/>
                <w:szCs w:val="21"/>
              </w:rPr>
              <w:t>导游业务</w:t>
            </w:r>
          </w:p>
        </w:tc>
        <w:tc>
          <w:tcPr>
            <w:tcW w:w="6170" w:type="dxa"/>
            <w:vAlign w:val="center"/>
          </w:tcPr>
          <w:p>
            <w:pPr>
              <w:spacing w:before="72"/>
              <w:ind w:firstLine="210" w:firstLineChars="100"/>
              <w:rPr>
                <w:rFonts w:ascii="宋体" w:hAnsi="宋体" w:eastAsia="宋体" w:cs="宋体"/>
                <w:color w:val="000000"/>
                <w:szCs w:val="21"/>
              </w:rPr>
            </w:pPr>
            <w:r>
              <w:rPr>
                <w:rFonts w:hint="eastAsia" w:ascii="宋体" w:hAnsi="宋体" w:eastAsia="宋体" w:cs="宋体"/>
                <w:color w:val="000000"/>
                <w:szCs w:val="21"/>
              </w:rPr>
              <w:t>掌握合格导游员应具备的条件和素质，树立良好的职业道德风尚；熟悉导游员的服务规范和服务质量标准，并能灵活运用到实践中；熟知旅游常识；具有基本的独立处理问题的能力，为以后从事导游工作打下良好的基础。</w:t>
            </w:r>
          </w:p>
        </w:tc>
        <w:tc>
          <w:tcPr>
            <w:tcW w:w="1130" w:type="dxa"/>
            <w:vAlign w:val="center"/>
          </w:tcPr>
          <w:p>
            <w:pPr>
              <w:spacing w:before="72"/>
              <w:jc w:val="center"/>
              <w:rPr>
                <w:rFonts w:ascii="宋体" w:hAnsi="宋体" w:eastAsia="宋体" w:cs="宋体"/>
                <w:color w:val="000000"/>
                <w:szCs w:val="21"/>
              </w:rPr>
            </w:pPr>
            <w:r>
              <w:rPr>
                <w:rFonts w:hint="eastAsia" w:ascii="宋体" w:hAnsi="宋体" w:eastAsia="宋体" w:cs="宋体"/>
                <w:color w:val="000000"/>
                <w:szCs w:val="21"/>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spacing w:before="72"/>
              <w:rPr>
                <w:rFonts w:ascii="宋体" w:hAnsi="宋体" w:eastAsia="宋体" w:cs="宋体"/>
                <w:color w:val="000000"/>
                <w:szCs w:val="21"/>
              </w:rPr>
            </w:pPr>
            <w:r>
              <w:rPr>
                <w:rFonts w:hint="eastAsia" w:ascii="宋体" w:hAnsi="宋体" w:eastAsia="宋体" w:cs="宋体"/>
                <w:color w:val="000000"/>
                <w:szCs w:val="21"/>
              </w:rPr>
              <w:t>导游口试教程</w:t>
            </w:r>
          </w:p>
        </w:tc>
        <w:tc>
          <w:tcPr>
            <w:tcW w:w="6170" w:type="dxa"/>
          </w:tcPr>
          <w:p>
            <w:pPr>
              <w:spacing w:before="93"/>
              <w:ind w:firstLine="210" w:firstLineChars="100"/>
              <w:rPr>
                <w:rFonts w:ascii="宋体" w:hAnsi="宋体" w:eastAsia="宋体" w:cs="宋体"/>
                <w:color w:val="000000"/>
                <w:szCs w:val="21"/>
              </w:rPr>
            </w:pPr>
            <w:r>
              <w:rPr>
                <w:rFonts w:hint="eastAsia" w:ascii="宋体" w:hAnsi="宋体" w:eastAsia="宋体" w:cs="宋体"/>
                <w:color w:val="000000"/>
                <w:szCs w:val="21"/>
              </w:rPr>
              <w:t>掌握导游语言概述、导游词写作、导游讲解语言、导游交际器育、导游体态语言、导游语言的表现风格等内容。</w:t>
            </w:r>
          </w:p>
          <w:p>
            <w:pPr>
              <w:spacing w:before="93" w:line="360" w:lineRule="exact"/>
              <w:ind w:firstLine="420" w:firstLineChars="200"/>
              <w:rPr>
                <w:rFonts w:ascii="宋体" w:hAnsi="宋体" w:eastAsia="宋体" w:cs="宋体"/>
                <w:color w:val="000000"/>
                <w:szCs w:val="21"/>
              </w:rPr>
            </w:pPr>
          </w:p>
        </w:tc>
        <w:tc>
          <w:tcPr>
            <w:tcW w:w="1130" w:type="dxa"/>
            <w:vAlign w:val="center"/>
          </w:tcPr>
          <w:p>
            <w:pPr>
              <w:spacing w:before="93"/>
              <w:jc w:val="center"/>
              <w:rPr>
                <w:rFonts w:ascii="宋体" w:hAnsi="宋体" w:eastAsia="宋体" w:cs="宋体"/>
                <w:color w:val="000000"/>
                <w:szCs w:val="21"/>
              </w:rPr>
            </w:pPr>
            <w:r>
              <w:rPr>
                <w:rFonts w:hint="eastAsia" w:ascii="宋体" w:hAnsi="宋体" w:eastAsia="宋体" w:cs="宋体"/>
                <w:color w:val="000000"/>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spacing w:before="72"/>
              <w:rPr>
                <w:rFonts w:ascii="宋体" w:hAnsi="宋体" w:eastAsia="宋体" w:cs="宋体"/>
                <w:color w:val="000000"/>
                <w:szCs w:val="21"/>
              </w:rPr>
            </w:pPr>
            <w:r>
              <w:rPr>
                <w:rFonts w:hint="eastAsia" w:ascii="宋体" w:hAnsi="宋体" w:eastAsia="宋体" w:cs="宋体"/>
                <w:color w:val="000000"/>
                <w:szCs w:val="21"/>
              </w:rPr>
              <w:t>模拟导游</w:t>
            </w:r>
          </w:p>
        </w:tc>
        <w:tc>
          <w:tcPr>
            <w:tcW w:w="6170" w:type="dxa"/>
          </w:tcPr>
          <w:p>
            <w:pPr>
              <w:spacing w:before="72"/>
              <w:ind w:firstLine="210" w:firstLineChars="100"/>
              <w:rPr>
                <w:rFonts w:ascii="宋体" w:hAnsi="宋体" w:eastAsia="宋体" w:cs="宋体"/>
                <w:color w:val="000000"/>
                <w:szCs w:val="21"/>
              </w:rPr>
            </w:pPr>
            <w:r>
              <w:rPr>
                <w:rFonts w:hint="eastAsia" w:ascii="宋体" w:hAnsi="宋体" w:eastAsia="宋体" w:cs="宋体"/>
                <w:color w:val="000000"/>
                <w:szCs w:val="21"/>
              </w:rPr>
              <w:t>以情境模拟为主要教学方法，通过景区景点选择，培养学生导游实践的能力。</w:t>
            </w:r>
          </w:p>
        </w:tc>
        <w:tc>
          <w:tcPr>
            <w:tcW w:w="1130" w:type="dxa"/>
            <w:vAlign w:val="center"/>
          </w:tcPr>
          <w:p>
            <w:pPr>
              <w:spacing w:before="72"/>
              <w:jc w:val="center"/>
              <w:rPr>
                <w:rFonts w:ascii="宋体" w:hAnsi="宋体" w:eastAsia="宋体" w:cs="宋体"/>
                <w:color w:val="000000"/>
                <w:szCs w:val="21"/>
              </w:rPr>
            </w:pPr>
            <w:r>
              <w:rPr>
                <w:rFonts w:hint="eastAsia" w:ascii="宋体" w:hAnsi="宋体" w:eastAsia="宋体" w:cs="宋体"/>
                <w:color w:val="000000"/>
                <w:szCs w:val="21"/>
              </w:rPr>
              <w:t>54</w:t>
            </w:r>
          </w:p>
        </w:tc>
      </w:tr>
    </w:tbl>
    <w:p>
      <w:pPr>
        <w:keepNext/>
        <w:keepLines/>
        <w:spacing w:beforeLines="30" w:afterLines="30" w:line="460" w:lineRule="exact"/>
        <w:ind w:left="420" w:leftChars="200"/>
        <w:outlineLvl w:val="2"/>
        <w:rPr>
          <w:rFonts w:ascii="宋体" w:hAnsi="宋体" w:eastAsia="宋体" w:cs="宋体"/>
          <w:b/>
        </w:rPr>
      </w:pPr>
      <w:r>
        <w:rPr>
          <w:rFonts w:hint="eastAsia" w:ascii="宋体" w:hAnsi="宋体" w:eastAsia="宋体" w:cs="宋体"/>
          <w:b/>
        </w:rPr>
        <w:t>3.专业拓展课</w:t>
      </w:r>
    </w:p>
    <w:tbl>
      <w:tblPr>
        <w:tblStyle w:val="20"/>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课程名称</w:t>
            </w:r>
          </w:p>
        </w:tc>
        <w:tc>
          <w:tcPr>
            <w:tcW w:w="617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教学内容及要求</w:t>
            </w:r>
          </w:p>
        </w:tc>
        <w:tc>
          <w:tcPr>
            <w:tcW w:w="113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tabs>
                <w:tab w:val="left" w:pos="426"/>
                <w:tab w:val="left" w:pos="709"/>
              </w:tabs>
              <w:topLinePunct/>
              <w:adjustRightInd w:val="0"/>
              <w:snapToGrid w:val="0"/>
              <w:spacing w:before="72"/>
              <w:jc w:val="center"/>
              <w:rPr>
                <w:rFonts w:ascii="宋体" w:hAnsi="宋体" w:eastAsia="宋体" w:cs="宋体"/>
                <w:szCs w:val="21"/>
              </w:rPr>
            </w:pPr>
            <w:r>
              <w:rPr>
                <w:rFonts w:hint="eastAsia" w:ascii="宋体" w:hAnsi="宋体" w:eastAsia="宋体" w:cs="宋体"/>
                <w:szCs w:val="21"/>
              </w:rPr>
              <w:t>插花艺术</w:t>
            </w:r>
          </w:p>
        </w:tc>
        <w:tc>
          <w:tcPr>
            <w:tcW w:w="6170" w:type="dxa"/>
            <w:vAlign w:val="center"/>
          </w:tcPr>
          <w:p>
            <w:pPr>
              <w:spacing w:before="72" w:line="360" w:lineRule="exact"/>
              <w:ind w:firstLine="420" w:firstLineChars="200"/>
              <w:rPr>
                <w:rFonts w:ascii="宋体" w:hAnsi="宋体" w:eastAsia="宋体" w:cs="宋体"/>
                <w:szCs w:val="21"/>
              </w:rPr>
            </w:pPr>
            <w:r>
              <w:rPr>
                <w:rFonts w:hint="eastAsia" w:ascii="宋体" w:hAnsi="宋体" w:eastAsia="宋体" w:cs="宋体"/>
                <w:szCs w:val="21"/>
              </w:rPr>
              <w:t>插花艺术是一项高雅的文化艺术活动，是融知识性、艺术性、观赏性及民族性于一体的艺术形式，对于美化环境、陶冶情操和提高人们的文化艺术修养有积极的作用。</w:t>
            </w:r>
          </w:p>
        </w:tc>
        <w:tc>
          <w:tcPr>
            <w:tcW w:w="1130" w:type="dxa"/>
            <w:vAlign w:val="center"/>
          </w:tcPr>
          <w:p>
            <w:pPr>
              <w:tabs>
                <w:tab w:val="left" w:pos="426"/>
                <w:tab w:val="left" w:pos="709"/>
              </w:tabs>
              <w:topLinePunct/>
              <w:adjustRightInd w:val="0"/>
              <w:snapToGrid w:val="0"/>
              <w:spacing w:before="72"/>
              <w:jc w:val="center"/>
              <w:rPr>
                <w:rFonts w:ascii="宋体" w:hAnsi="宋体" w:eastAsia="宋体" w:cs="宋体"/>
                <w:szCs w:val="21"/>
              </w:rPr>
            </w:pPr>
            <w:r>
              <w:rPr>
                <w:rFonts w:hint="eastAsia" w:ascii="宋体" w:hAnsi="宋体" w:eastAsia="宋体" w:cs="宋体"/>
                <w:szCs w:val="21"/>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tabs>
                <w:tab w:val="left" w:pos="426"/>
                <w:tab w:val="left" w:pos="709"/>
              </w:tabs>
              <w:topLinePunct/>
              <w:adjustRightInd w:val="0"/>
              <w:snapToGrid w:val="0"/>
              <w:spacing w:before="72"/>
              <w:jc w:val="center"/>
              <w:rPr>
                <w:rFonts w:ascii="宋体" w:hAnsi="宋体" w:eastAsia="宋体" w:cs="宋体"/>
                <w:szCs w:val="21"/>
              </w:rPr>
            </w:pPr>
            <w:r>
              <w:rPr>
                <w:rFonts w:hint="eastAsia" w:ascii="宋体" w:hAnsi="宋体" w:eastAsia="宋体" w:cs="宋体"/>
                <w:szCs w:val="21"/>
              </w:rPr>
              <w:t>美容化妆</w:t>
            </w:r>
          </w:p>
        </w:tc>
        <w:tc>
          <w:tcPr>
            <w:tcW w:w="6170" w:type="dxa"/>
            <w:vAlign w:val="center"/>
          </w:tcPr>
          <w:p>
            <w:pPr>
              <w:spacing w:before="72" w:line="360" w:lineRule="exact"/>
              <w:ind w:firstLine="420" w:firstLineChars="200"/>
              <w:rPr>
                <w:rFonts w:ascii="宋体" w:hAnsi="宋体" w:eastAsia="宋体" w:cs="宋体"/>
                <w:szCs w:val="21"/>
              </w:rPr>
            </w:pPr>
            <w:r>
              <w:rPr>
                <w:rFonts w:hint="eastAsia" w:ascii="宋体" w:hAnsi="宋体" w:eastAsia="宋体" w:cs="宋体"/>
                <w:szCs w:val="21"/>
              </w:rPr>
              <w:t>讲授、美容、护理、化妆的基础知识以及美容化妆与服饰配搭的关系。拓宽学生的知识面。</w:t>
            </w:r>
          </w:p>
        </w:tc>
        <w:tc>
          <w:tcPr>
            <w:tcW w:w="1130" w:type="dxa"/>
            <w:vAlign w:val="center"/>
          </w:tcPr>
          <w:p>
            <w:pPr>
              <w:tabs>
                <w:tab w:val="left" w:pos="426"/>
                <w:tab w:val="left" w:pos="709"/>
              </w:tabs>
              <w:topLinePunct/>
              <w:adjustRightInd w:val="0"/>
              <w:snapToGrid w:val="0"/>
              <w:spacing w:before="72"/>
              <w:jc w:val="center"/>
              <w:rPr>
                <w:rFonts w:ascii="宋体" w:hAnsi="宋体" w:eastAsia="宋体" w:cs="宋体"/>
                <w:szCs w:val="21"/>
              </w:rPr>
            </w:pPr>
            <w:r>
              <w:rPr>
                <w:rFonts w:hint="eastAsia" w:ascii="宋体" w:hAnsi="宋体" w:eastAsia="宋体" w:cs="宋体"/>
                <w:szCs w:val="21"/>
              </w:rPr>
              <w:t>32</w:t>
            </w:r>
          </w:p>
        </w:tc>
      </w:tr>
    </w:tbl>
    <w:p>
      <w:pPr>
        <w:keepNext/>
        <w:keepLines/>
        <w:spacing w:beforeLines="30" w:afterLines="30" w:line="460" w:lineRule="exact"/>
        <w:ind w:left="420" w:leftChars="200"/>
        <w:outlineLvl w:val="2"/>
        <w:rPr>
          <w:rFonts w:ascii="宋体" w:hAnsi="宋体" w:eastAsia="宋体" w:cs="宋体"/>
          <w:b/>
        </w:rPr>
      </w:pPr>
      <w:r>
        <w:rPr>
          <w:rFonts w:hint="eastAsia" w:ascii="宋体" w:hAnsi="宋体" w:eastAsia="宋体" w:cs="宋体"/>
          <w:b/>
        </w:rPr>
        <w:t>4.实践课</w:t>
      </w:r>
    </w:p>
    <w:tbl>
      <w:tblPr>
        <w:tblStyle w:val="20"/>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课程名称</w:t>
            </w:r>
          </w:p>
        </w:tc>
        <w:tc>
          <w:tcPr>
            <w:tcW w:w="617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教学内容及要求</w:t>
            </w:r>
          </w:p>
        </w:tc>
        <w:tc>
          <w:tcPr>
            <w:tcW w:w="113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widowControl/>
              <w:jc w:val="center"/>
              <w:textAlignment w:val="center"/>
              <w:rPr>
                <w:rFonts w:ascii="宋体" w:hAnsi="宋体" w:eastAsia="宋体" w:cs="宋体"/>
                <w:szCs w:val="21"/>
                <w:lang w:val="zh-CN"/>
              </w:rPr>
            </w:pPr>
            <w:r>
              <w:rPr>
                <w:rFonts w:hint="eastAsia" w:ascii="宋体" w:hAnsi="宋体" w:eastAsia="宋体" w:cs="宋体"/>
                <w:color w:val="000000"/>
                <w:kern w:val="0"/>
                <w:sz w:val="20"/>
                <w:szCs w:val="20"/>
              </w:rPr>
              <w:t>顶岗实习</w:t>
            </w:r>
          </w:p>
        </w:tc>
        <w:tc>
          <w:tcPr>
            <w:tcW w:w="6170" w:type="dxa"/>
            <w:vAlign w:val="center"/>
          </w:tcPr>
          <w:p>
            <w:pPr>
              <w:autoSpaceDE w:val="0"/>
              <w:autoSpaceDN w:val="0"/>
              <w:adjustRightInd w:val="0"/>
              <w:spacing w:line="340" w:lineRule="exact"/>
              <w:ind w:firstLine="420" w:firstLineChars="200"/>
              <w:rPr>
                <w:rFonts w:ascii="宋体" w:hAnsi="宋体" w:eastAsia="宋体" w:cs="宋体"/>
                <w:szCs w:val="21"/>
              </w:rPr>
            </w:pPr>
            <w:r>
              <w:rPr>
                <w:rFonts w:hint="eastAsia" w:ascii="宋体" w:hAnsi="宋体" w:eastAsia="宋体" w:cs="宋体"/>
                <w:szCs w:val="21"/>
              </w:rPr>
              <w:t>学生到企事业单位的现场，在本专业相关的实践岗位上，通过辅助、协作或独立实践等方式进入职业岗位。</w:t>
            </w:r>
          </w:p>
        </w:tc>
        <w:tc>
          <w:tcPr>
            <w:tcW w:w="1130" w:type="dxa"/>
            <w:vAlign w:val="center"/>
          </w:tcPr>
          <w:p>
            <w:pPr>
              <w:widowControl/>
              <w:jc w:val="center"/>
              <w:textAlignment w:val="center"/>
              <w:rPr>
                <w:rFonts w:ascii="宋体" w:hAnsi="宋体" w:eastAsia="宋体" w:cs="宋体"/>
                <w:szCs w:val="21"/>
              </w:rPr>
            </w:pPr>
            <w:r>
              <w:rPr>
                <w:rFonts w:hint="eastAsia" w:ascii="宋体" w:hAnsi="宋体" w:eastAsia="宋体" w:cs="宋体"/>
                <w:szCs w:val="21"/>
              </w:rPr>
              <w:t>540</w:t>
            </w:r>
          </w:p>
        </w:tc>
      </w:tr>
    </w:tbl>
    <w:p>
      <w:pPr>
        <w:keepNext/>
        <w:keepLines/>
        <w:numPr>
          <w:ilvl w:val="0"/>
          <w:numId w:val="2"/>
        </w:numPr>
        <w:spacing w:beforeLines="30" w:afterLines="30" w:line="460" w:lineRule="exact"/>
        <w:ind w:firstLine="602" w:firstLineChars="200"/>
        <w:outlineLvl w:val="0"/>
        <w:rPr>
          <w:rFonts w:eastAsia="黑体"/>
          <w:b/>
          <w:kern w:val="44"/>
          <w:sz w:val="30"/>
        </w:rPr>
      </w:pPr>
      <w:bookmarkStart w:id="40" w:name="_Toc4433"/>
      <w:bookmarkStart w:id="41" w:name="_Toc6844"/>
      <w:bookmarkStart w:id="42" w:name="_Toc15469"/>
      <w:bookmarkStart w:id="43" w:name="_Toc6693"/>
      <w:r>
        <w:rPr>
          <w:rFonts w:hint="eastAsia" w:eastAsia="黑体"/>
          <w:b/>
          <w:kern w:val="44"/>
          <w:sz w:val="30"/>
        </w:rPr>
        <w:t>教学进程总体安排</w:t>
      </w:r>
      <w:bookmarkEnd w:id="40"/>
      <w:bookmarkEnd w:id="41"/>
      <w:bookmarkEnd w:id="42"/>
      <w:bookmarkEnd w:id="43"/>
    </w:p>
    <w:p>
      <w:pPr>
        <w:pStyle w:val="4"/>
        <w:numPr>
          <w:ilvl w:val="0"/>
          <w:numId w:val="5"/>
        </w:numPr>
        <w:spacing w:before="93" w:after="93"/>
        <w:ind w:firstLine="561"/>
      </w:pPr>
      <w:bookmarkStart w:id="44" w:name="_Toc20792"/>
      <w:bookmarkStart w:id="45" w:name="_Toc15224"/>
      <w:bookmarkStart w:id="46" w:name="_Toc30508"/>
      <w:bookmarkStart w:id="47" w:name="_Toc2513"/>
      <w:bookmarkStart w:id="48" w:name="_Toc32414"/>
      <w:r>
        <w:rPr>
          <w:rFonts w:hint="eastAsia"/>
        </w:rPr>
        <w:t>基本要求</w:t>
      </w:r>
      <w:bookmarkEnd w:id="44"/>
      <w:bookmarkEnd w:id="45"/>
      <w:bookmarkEnd w:id="46"/>
      <w:bookmarkEnd w:id="47"/>
      <w:bookmarkEnd w:id="48"/>
    </w:p>
    <w:p>
      <w:pPr>
        <w:spacing w:line="460" w:lineRule="exact"/>
        <w:ind w:firstLine="480" w:firstLineChars="200"/>
        <w:rPr>
          <w:rFonts w:ascii="宋体" w:hAnsi="宋体" w:eastAsia="宋体" w:cs="宋体"/>
          <w:sz w:val="24"/>
        </w:rPr>
      </w:pPr>
      <w:bookmarkStart w:id="49" w:name="_Toc26823"/>
      <w:bookmarkStart w:id="50" w:name="_Toc926"/>
      <w:bookmarkStart w:id="51" w:name="_Toc17619"/>
      <w:bookmarkStart w:id="52" w:name="_Toc10553"/>
      <w:r>
        <w:rPr>
          <w:rFonts w:hint="eastAsia" w:ascii="宋体" w:hAnsi="宋体" w:eastAsia="宋体" w:cs="宋体"/>
          <w:sz w:val="24"/>
        </w:rPr>
        <w:t>1.每学年为52周，其中教学时间40周（含复习考试），累计假期12周，周学时为28学时，岗位实习按每周30小时（1小时折合1学时）安排，3年总学时数为3000-3300学时。</w:t>
      </w:r>
    </w:p>
    <w:p>
      <w:pPr>
        <w:spacing w:line="460" w:lineRule="exact"/>
        <w:ind w:firstLine="480" w:firstLineChars="200"/>
        <w:rPr>
          <w:rFonts w:ascii="宋体" w:hAnsi="宋体" w:eastAsia="宋体" w:cs="宋体"/>
          <w:sz w:val="24"/>
        </w:rPr>
      </w:pPr>
      <w:r>
        <w:rPr>
          <w:rFonts w:hint="eastAsia" w:ascii="宋体" w:hAnsi="宋体" w:eastAsia="宋体" w:cs="宋体"/>
          <w:sz w:val="24"/>
        </w:rPr>
        <w:t>2.一般18学时为1学分，3年制总学分不得少于170。军训、社会实践、入学教育、毕业教育等活动以1周为1学分，共5学分。</w:t>
      </w:r>
    </w:p>
    <w:p>
      <w:pPr>
        <w:spacing w:line="460" w:lineRule="exact"/>
        <w:ind w:firstLine="480" w:firstLineChars="200"/>
        <w:rPr>
          <w:rFonts w:ascii="宋体" w:hAnsi="宋体" w:eastAsia="宋体" w:cs="宋体"/>
          <w:sz w:val="24"/>
        </w:rPr>
      </w:pPr>
      <w:r>
        <w:rPr>
          <w:rFonts w:hint="eastAsia" w:ascii="宋体" w:hAnsi="宋体" w:eastAsia="宋体" w:cs="宋体"/>
          <w:sz w:val="24"/>
        </w:rPr>
        <w:t>3.公共基础课学时约占总学时1/3，允许根据行业人才培养的实际需要在规定的范围内适当调整，但必须保证学生修完公共基础课的必修内容和学时。</w:t>
      </w:r>
    </w:p>
    <w:p>
      <w:pPr>
        <w:spacing w:line="460" w:lineRule="exact"/>
        <w:ind w:firstLine="480" w:firstLineChars="200"/>
        <w:rPr>
          <w:rFonts w:ascii="宋体" w:hAnsi="宋体" w:eastAsia="宋体" w:cs="宋体"/>
          <w:sz w:val="24"/>
        </w:rPr>
      </w:pPr>
      <w:r>
        <w:rPr>
          <w:rFonts w:hint="eastAsia" w:ascii="宋体" w:hAnsi="宋体" w:eastAsia="宋体" w:cs="宋体"/>
          <w:sz w:val="24"/>
        </w:rPr>
        <w:t>4.专业课程学时一般占总学时的2/3，在确保学生实习总量的前提下，可根据实际需要集中或分阶段安排实习时间，行业企业职业认知应安排在第一学年。</w:t>
      </w:r>
    </w:p>
    <w:p>
      <w:pPr>
        <w:spacing w:line="460" w:lineRule="exact"/>
        <w:ind w:firstLine="480" w:firstLineChars="200"/>
        <w:rPr>
          <w:rFonts w:ascii="宋体" w:hAnsi="宋体" w:eastAsia="宋体" w:cs="宋体"/>
          <w:sz w:val="24"/>
        </w:rPr>
      </w:pPr>
      <w:r>
        <w:rPr>
          <w:rFonts w:hint="eastAsia" w:ascii="宋体" w:hAnsi="宋体" w:eastAsia="宋体" w:cs="宋体"/>
          <w:sz w:val="24"/>
        </w:rPr>
        <w:t>5.课程设置中应设选修课，各专业选修课程的学时数占总学时的比例应不少于10%。</w:t>
      </w:r>
    </w:p>
    <w:p>
      <w:pPr>
        <w:pStyle w:val="4"/>
        <w:numPr>
          <w:ilvl w:val="0"/>
          <w:numId w:val="5"/>
        </w:numPr>
        <w:spacing w:before="93" w:after="93"/>
        <w:ind w:firstLine="561"/>
      </w:pPr>
      <w:bookmarkStart w:id="53" w:name="_Toc2152"/>
      <w:r>
        <w:rPr>
          <w:rFonts w:hint="eastAsia"/>
        </w:rPr>
        <w:t>教学进程总体安排表</w:t>
      </w:r>
      <w:bookmarkEnd w:id="49"/>
      <w:bookmarkEnd w:id="50"/>
      <w:bookmarkEnd w:id="51"/>
      <w:bookmarkEnd w:id="52"/>
      <w:bookmarkEnd w:id="53"/>
    </w:p>
    <w:tbl>
      <w:tblPr>
        <w:tblStyle w:val="20"/>
        <w:tblW w:w="10080" w:type="dxa"/>
        <w:jc w:val="center"/>
        <w:tblLayout w:type="autofit"/>
        <w:tblCellMar>
          <w:top w:w="0" w:type="dxa"/>
          <w:left w:w="108" w:type="dxa"/>
          <w:bottom w:w="0" w:type="dxa"/>
          <w:right w:w="108" w:type="dxa"/>
        </w:tblCellMar>
      </w:tblPr>
      <w:tblGrid>
        <w:gridCol w:w="616"/>
        <w:gridCol w:w="633"/>
        <w:gridCol w:w="748"/>
        <w:gridCol w:w="2500"/>
        <w:gridCol w:w="613"/>
        <w:gridCol w:w="848"/>
        <w:gridCol w:w="687"/>
        <w:gridCol w:w="687"/>
        <w:gridCol w:w="687"/>
        <w:gridCol w:w="687"/>
        <w:gridCol w:w="687"/>
        <w:gridCol w:w="687"/>
      </w:tblGrid>
      <w:tr>
        <w:tblPrEx>
          <w:tblCellMar>
            <w:top w:w="0" w:type="dxa"/>
            <w:left w:w="108" w:type="dxa"/>
            <w:bottom w:w="0" w:type="dxa"/>
            <w:right w:w="108" w:type="dxa"/>
          </w:tblCellMar>
        </w:tblPrEx>
        <w:trPr>
          <w:trHeight w:val="363" w:hRule="atLeast"/>
          <w:tblHeader/>
          <w:jc w:val="center"/>
        </w:trPr>
        <w:tc>
          <w:tcPr>
            <w:tcW w:w="12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类别</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课程名称</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学分</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总学时</w:t>
            </w:r>
          </w:p>
        </w:tc>
        <w:tc>
          <w:tcPr>
            <w:tcW w:w="41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学期周数与周学时</w:t>
            </w:r>
          </w:p>
        </w:tc>
      </w:tr>
      <w:tr>
        <w:tblPrEx>
          <w:tblCellMar>
            <w:top w:w="0" w:type="dxa"/>
            <w:left w:w="108" w:type="dxa"/>
            <w:bottom w:w="0" w:type="dxa"/>
            <w:right w:w="108" w:type="dxa"/>
          </w:tblCellMar>
        </w:tblPrEx>
        <w:trPr>
          <w:trHeight w:val="363" w:hRule="atLeast"/>
          <w:tblHeader/>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bCs/>
                <w:color w:val="000000"/>
                <w:sz w:val="20"/>
                <w:szCs w:val="20"/>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一</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二</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三</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四</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五</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六</w:t>
            </w:r>
          </w:p>
        </w:tc>
      </w:tr>
      <w:tr>
        <w:tblPrEx>
          <w:tblCellMar>
            <w:top w:w="0" w:type="dxa"/>
            <w:left w:w="108" w:type="dxa"/>
            <w:bottom w:w="0" w:type="dxa"/>
            <w:right w:w="108" w:type="dxa"/>
          </w:tblCellMar>
        </w:tblPrEx>
        <w:trPr>
          <w:trHeight w:val="363" w:hRule="atLeast"/>
          <w:tblHeader/>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bCs/>
                <w:color w:val="000000"/>
                <w:sz w:val="20"/>
                <w:szCs w:val="20"/>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18周</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18周</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18周</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18周</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18周</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18周</w:t>
            </w:r>
          </w:p>
        </w:tc>
      </w:tr>
      <w:tr>
        <w:tblPrEx>
          <w:tblCellMar>
            <w:top w:w="0" w:type="dxa"/>
            <w:left w:w="108" w:type="dxa"/>
            <w:bottom w:w="0" w:type="dxa"/>
            <w:right w:w="108" w:type="dxa"/>
          </w:tblCellMar>
        </w:tblPrEx>
        <w:trPr>
          <w:trHeight w:val="363" w:hRule="atLeast"/>
          <w:jc w:val="center"/>
        </w:trPr>
        <w:tc>
          <w:tcPr>
            <w:tcW w:w="12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公共基础课</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军训及入学教育</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Style w:val="27"/>
                <w:rFonts w:hint="default"/>
              </w:rPr>
              <w:t>1</w:t>
            </w:r>
            <w:r>
              <w:rPr>
                <w:rStyle w:val="28"/>
                <w:rFonts w:hint="default"/>
              </w:rPr>
              <w:t>周</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劳动与行为习惯养成教育</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习近平新时代读本</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中国特色社会主义</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心理健康与职业生涯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哲学与人生</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职业道德与法治</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信息技术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历史</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公共艺术（音乐）</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公共艺术（美术）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体育与健康</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语文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数学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英语</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39.07%</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1272</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363" w:hRule="atLeast"/>
          <w:jc w:val="center"/>
        </w:trPr>
        <w:tc>
          <w:tcPr>
            <w:tcW w:w="12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公共选修课</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（二选一）</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中华传统文化</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0.55%</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r>
      <w:tr>
        <w:tblPrEx>
          <w:tblCellMar>
            <w:top w:w="0" w:type="dxa"/>
            <w:left w:w="108" w:type="dxa"/>
            <w:bottom w:w="0" w:type="dxa"/>
            <w:right w:w="108" w:type="dxa"/>
          </w:tblCellMar>
        </w:tblPrEx>
        <w:trPr>
          <w:trHeight w:val="363"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专业基础课程</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旅游概论</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中国旅游地理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形体与礼仪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普通话</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茶艺与酒水知识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8.84%</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16</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288</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专业核心课程</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全国导游基础知识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地方导游基础知识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导游业务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政策法规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旅游英语</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导游口试教程</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模拟导游</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30.4%</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55</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990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9</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17</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23</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专业拓展课程</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（选修）</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插花艺术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美容化妆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95"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4.54%</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8</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148</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8</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r>
      <w:tr>
        <w:tblPrEx>
          <w:tblCellMar>
            <w:top w:w="0" w:type="dxa"/>
            <w:left w:w="108" w:type="dxa"/>
            <w:bottom w:w="0" w:type="dxa"/>
            <w:right w:w="108" w:type="dxa"/>
          </w:tblCellMar>
        </w:tblPrEx>
        <w:trPr>
          <w:trHeight w:val="363" w:hRule="atLeast"/>
          <w:jc w:val="center"/>
        </w:trPr>
        <w:tc>
          <w:tcPr>
            <w:tcW w:w="12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岗位实习</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540</w:t>
            </w: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16.6%</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540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540</w:t>
            </w:r>
          </w:p>
        </w:tc>
      </w:tr>
      <w:tr>
        <w:tblPrEx>
          <w:tblCellMar>
            <w:top w:w="0" w:type="dxa"/>
            <w:left w:w="108" w:type="dxa"/>
            <w:bottom w:w="0" w:type="dxa"/>
            <w:right w:w="108" w:type="dxa"/>
          </w:tblCellMar>
        </w:tblPrEx>
        <w:trPr>
          <w:trHeight w:val="363" w:hRule="atLeast"/>
          <w:jc w:val="center"/>
        </w:trPr>
        <w:tc>
          <w:tcPr>
            <w:tcW w:w="4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180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3256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540</w:t>
            </w:r>
          </w:p>
        </w:tc>
      </w:tr>
    </w:tbl>
    <w:p>
      <w:pPr>
        <w:keepNext/>
        <w:keepLines/>
        <w:numPr>
          <w:ilvl w:val="0"/>
          <w:numId w:val="2"/>
        </w:numPr>
        <w:spacing w:beforeLines="30" w:afterLines="30" w:line="460" w:lineRule="exact"/>
        <w:ind w:firstLine="602" w:firstLineChars="200"/>
        <w:outlineLvl w:val="0"/>
        <w:rPr>
          <w:rFonts w:eastAsia="黑体"/>
          <w:b/>
          <w:kern w:val="44"/>
          <w:sz w:val="30"/>
        </w:rPr>
      </w:pPr>
      <w:bookmarkStart w:id="54" w:name="_Toc21929"/>
      <w:bookmarkStart w:id="55" w:name="_Toc27593"/>
      <w:bookmarkStart w:id="56" w:name="_Toc11852"/>
      <w:bookmarkStart w:id="57" w:name="_Toc19129"/>
      <w:bookmarkStart w:id="58" w:name="_Toc32280"/>
      <w:r>
        <w:rPr>
          <w:rFonts w:hint="eastAsia" w:eastAsia="黑体"/>
          <w:b/>
          <w:kern w:val="44"/>
          <w:sz w:val="30"/>
        </w:rPr>
        <w:t>实施保障</w:t>
      </w:r>
      <w:bookmarkEnd w:id="54"/>
      <w:bookmarkEnd w:id="55"/>
      <w:bookmarkEnd w:id="56"/>
      <w:bookmarkEnd w:id="57"/>
      <w:bookmarkEnd w:id="58"/>
    </w:p>
    <w:p>
      <w:pPr>
        <w:spacing w:line="460" w:lineRule="exact"/>
        <w:ind w:firstLine="480" w:firstLineChars="200"/>
        <w:rPr>
          <w:rFonts w:ascii="宋体" w:hAnsi="宋体" w:eastAsia="宋体" w:cs="宋体"/>
          <w:sz w:val="24"/>
        </w:rPr>
      </w:pPr>
      <w:r>
        <w:rPr>
          <w:rFonts w:hint="eastAsia" w:ascii="宋体" w:hAnsi="宋体" w:eastAsia="宋体" w:cs="宋体"/>
          <w:sz w:val="24"/>
        </w:rPr>
        <w:t>旅游服务与管理人才培养方案实施保障主要包括师资队伍、教学设施、教学资源、教学实施、学习评价、质量管理等方面。</w:t>
      </w:r>
    </w:p>
    <w:p>
      <w:pPr>
        <w:pStyle w:val="4"/>
        <w:numPr>
          <w:ilvl w:val="0"/>
          <w:numId w:val="6"/>
        </w:numPr>
        <w:spacing w:before="93" w:after="93"/>
        <w:ind w:firstLineChars="0"/>
      </w:pPr>
      <w:bookmarkStart w:id="59" w:name="_Toc24804"/>
      <w:bookmarkStart w:id="60" w:name="_Toc3958"/>
      <w:bookmarkStart w:id="61" w:name="_Toc25539"/>
      <w:bookmarkStart w:id="62" w:name="_Toc24146"/>
      <w:bookmarkStart w:id="63" w:name="_Toc31185"/>
      <w:r>
        <w:rPr>
          <w:rFonts w:hint="eastAsia"/>
        </w:rPr>
        <w:t>师资队伍</w:t>
      </w:r>
      <w:bookmarkEnd w:id="59"/>
      <w:bookmarkEnd w:id="60"/>
      <w:bookmarkEnd w:id="61"/>
      <w:bookmarkEnd w:id="62"/>
      <w:bookmarkEnd w:id="63"/>
    </w:p>
    <w:p>
      <w:pPr>
        <w:keepNext/>
        <w:keepLines/>
        <w:spacing w:beforeLines="30"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1.教学团队总体要求</w:t>
      </w:r>
    </w:p>
    <w:p>
      <w:pPr>
        <w:spacing w:line="460" w:lineRule="exact"/>
        <w:ind w:firstLine="480" w:firstLineChars="200"/>
        <w:rPr>
          <w:rFonts w:ascii="宋体" w:hAnsi="宋体" w:eastAsia="宋体" w:cs="宋体"/>
          <w:sz w:val="24"/>
        </w:rPr>
      </w:pPr>
      <w:r>
        <w:rPr>
          <w:rFonts w:hint="eastAsia" w:ascii="宋体" w:hAnsi="宋体" w:eastAsia="宋体" w:cs="宋体"/>
          <w:sz w:val="24"/>
        </w:rPr>
        <w:t>根据教育部颁布的《中等职业学校教师专业标准》《中等职业学校设置标准》和《广东省人民政府关于全面实施“强师工程”建设高素质专业化教师队伍的意见》，加强专业师资队伍建设，合理配置教师资源。专业教师学历、职称结构应合理，具备良好的师德和终身学习能力，熟悉企业情况，积极开展课程教学改革。其中，各专业至少应配备具有相关专业中级专业技术职务的专任教师2人，建立“双师型”专业老师团队，其中“双师型”教师应不低于30%；应有业务水平较高的专业带头人。</w:t>
      </w:r>
    </w:p>
    <w:p>
      <w:pPr>
        <w:keepNext/>
        <w:keepLines/>
        <w:spacing w:beforeLines="30"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2.专任教师要求</w:t>
      </w:r>
    </w:p>
    <w:p>
      <w:pPr>
        <w:spacing w:line="460" w:lineRule="exact"/>
        <w:ind w:firstLine="480" w:firstLineChars="200"/>
        <w:rPr>
          <w:rFonts w:ascii="宋体" w:hAnsi="宋体" w:eastAsia="宋体" w:cs="宋体"/>
          <w:sz w:val="24"/>
        </w:rPr>
      </w:pPr>
      <w:r>
        <w:rPr>
          <w:rFonts w:hint="eastAsia" w:ascii="宋体" w:hAnsi="宋体" w:eastAsia="宋体" w:cs="宋体"/>
          <w:sz w:val="24"/>
        </w:rPr>
        <w:t>旅游服务与管理专业专任教师要求具有高中阶段学校及以上教师资格证书；有道德情操、有扎实学识、有仁爱之心；具有旅游服务与管理相关专业学历；具有本专业理论和实践能力；能够落实课程思政要求，挖掘专业课程中的思政教育元素和资源；能够调配、规划实验实训设备，完善符合现代教学方式的教学场所；能够跟踪新经济、新技术发展前沿，开展社会服务；专业教师每年至少1个月在企业或实训基地实训，每5年累计不少于6个月的企业实践经历。</w:t>
      </w:r>
    </w:p>
    <w:p>
      <w:pPr>
        <w:keepNext/>
        <w:keepLines/>
        <w:spacing w:beforeLines="30"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3.兼职教师要求</w:t>
      </w:r>
    </w:p>
    <w:p>
      <w:pPr>
        <w:spacing w:line="460" w:lineRule="exact"/>
        <w:ind w:firstLine="480" w:firstLineChars="200"/>
        <w:rPr>
          <w:rFonts w:ascii="宋体" w:hAnsi="宋体" w:eastAsia="宋体" w:cs="宋体"/>
          <w:sz w:val="24"/>
        </w:rPr>
      </w:pPr>
      <w:bookmarkStart w:id="64" w:name="_Toc28280"/>
      <w:bookmarkStart w:id="65" w:name="_Toc21276"/>
      <w:bookmarkStart w:id="66" w:name="_Toc17999"/>
      <w:bookmarkStart w:id="67" w:name="_Toc20635"/>
      <w:bookmarkStart w:id="68" w:name="_Toc27128"/>
      <w:r>
        <w:rPr>
          <w:rFonts w:hint="eastAsia" w:ascii="宋体" w:hAnsi="宋体" w:eastAsia="宋体" w:cs="宋体"/>
          <w:sz w:val="24"/>
        </w:rPr>
        <w:t>聘请行业企业高技能人才担任专业兼职教师，兼职教师应具有高级及以上职业资格或中级以上专业技术职称。要求兼职教师必须参与专业教研活动，把企业的新理念、新技术、新要求引入到教学中来，并对教学中存在的问题及时进行总结和反馈。同时，兼职教师应当起到学校与企业之间的桥梁作用，定期对专任教师进行能力、技术、理念提升交流，并起到推动校企合作项目的作用</w:t>
      </w:r>
      <w:bookmarkEnd w:id="64"/>
      <w:r>
        <w:rPr>
          <w:rFonts w:hint="eastAsia" w:ascii="宋体" w:hAnsi="宋体" w:eastAsia="宋体" w:cs="宋体"/>
          <w:sz w:val="24"/>
        </w:rPr>
        <w:t>。</w:t>
      </w:r>
    </w:p>
    <w:p>
      <w:pPr>
        <w:pStyle w:val="4"/>
        <w:numPr>
          <w:ilvl w:val="0"/>
          <w:numId w:val="6"/>
        </w:numPr>
        <w:spacing w:before="93" w:after="93"/>
        <w:ind w:firstLineChars="0"/>
      </w:pPr>
      <w:bookmarkStart w:id="69" w:name="_Toc7804"/>
      <w:r>
        <w:rPr>
          <w:rFonts w:hint="eastAsia"/>
        </w:rPr>
        <w:t>教学设施</w:t>
      </w:r>
      <w:bookmarkEnd w:id="65"/>
      <w:bookmarkEnd w:id="66"/>
      <w:bookmarkEnd w:id="67"/>
      <w:bookmarkEnd w:id="68"/>
      <w:bookmarkEnd w:id="69"/>
    </w:p>
    <w:p>
      <w:pPr>
        <w:spacing w:line="440" w:lineRule="exact"/>
        <w:ind w:firstLine="482" w:firstLineChars="200"/>
        <w:outlineLvl w:val="2"/>
        <w:rPr>
          <w:rFonts w:ascii="宋体" w:hAnsi="宋体" w:eastAsia="宋体" w:cs="宋体"/>
          <w:b/>
          <w:sz w:val="24"/>
        </w:rPr>
      </w:pPr>
      <w:bookmarkStart w:id="70" w:name="_Toc30118"/>
      <w:r>
        <w:rPr>
          <w:rFonts w:hint="eastAsia" w:ascii="宋体" w:hAnsi="宋体" w:eastAsia="宋体" w:cs="宋体"/>
          <w:b/>
          <w:sz w:val="24"/>
        </w:rPr>
        <w:t>1.专业教室</w:t>
      </w:r>
      <w:bookmarkEnd w:id="70"/>
    </w:p>
    <w:p>
      <w:pPr>
        <w:spacing w:line="460" w:lineRule="exact"/>
        <w:ind w:firstLine="480" w:firstLineChars="200"/>
        <w:rPr>
          <w:rFonts w:ascii="宋体" w:hAnsi="宋体" w:eastAsia="宋体" w:cs="宋体"/>
          <w:sz w:val="24"/>
        </w:rPr>
      </w:pPr>
      <w:bookmarkStart w:id="71" w:name="_Hlk83220190"/>
      <w:bookmarkStart w:id="72" w:name="_Toc11904"/>
      <w:r>
        <w:rPr>
          <w:rFonts w:hint="eastAsia" w:ascii="宋体" w:hAnsi="宋体" w:eastAsia="宋体" w:cs="宋体"/>
          <w:sz w:val="24"/>
        </w:rPr>
        <w:t>具备利用信息化手段开展混合式教学的条件。</w:t>
      </w:r>
      <w:bookmarkEnd w:id="71"/>
      <w:r>
        <w:rPr>
          <w:rFonts w:hint="eastAsia" w:ascii="宋体" w:hAnsi="宋体" w:eastAsia="宋体" w:cs="宋体"/>
          <w:sz w:val="24"/>
        </w:rPr>
        <w:t>一般配备黑（白）板、多媒体计算机、投影设备、音响设备，互联网接入或无线网络环境，并具有网络安全防护措施。安装应急照明装置并保持良好状态，符合紧急疏散要求、标志明显、保持逃生通道畅通无阻。</w:t>
      </w:r>
    </w:p>
    <w:p>
      <w:pPr>
        <w:spacing w:line="440" w:lineRule="exact"/>
        <w:ind w:left="420" w:leftChars="200"/>
        <w:outlineLvl w:val="2"/>
        <w:rPr>
          <w:rFonts w:ascii="宋体" w:hAnsi="宋体" w:eastAsia="宋体" w:cs="宋体"/>
          <w:b/>
          <w:sz w:val="24"/>
        </w:rPr>
      </w:pPr>
      <w:r>
        <w:rPr>
          <w:rFonts w:hint="eastAsia" w:ascii="宋体" w:hAnsi="宋体" w:eastAsia="宋体" w:cs="宋体"/>
          <w:b/>
          <w:sz w:val="24"/>
        </w:rPr>
        <w:t>2.校内实训</w:t>
      </w:r>
      <w:bookmarkEnd w:id="72"/>
      <w:r>
        <w:rPr>
          <w:rFonts w:hint="eastAsia" w:ascii="宋体" w:hAnsi="宋体" w:eastAsia="宋体" w:cs="宋体"/>
          <w:b/>
          <w:sz w:val="24"/>
        </w:rPr>
        <w:t>室</w:t>
      </w:r>
    </w:p>
    <w:p>
      <w:pPr>
        <w:spacing w:line="460" w:lineRule="exact"/>
        <w:ind w:firstLine="480" w:firstLineChars="200"/>
        <w:rPr>
          <w:rFonts w:ascii="宋体" w:hAnsi="宋体" w:eastAsia="宋体" w:cs="宋体"/>
          <w:sz w:val="24"/>
        </w:rPr>
      </w:pPr>
      <w:r>
        <w:rPr>
          <w:rFonts w:hint="eastAsia" w:ascii="宋体" w:hAnsi="宋体" w:eastAsia="宋体" w:cs="宋体"/>
          <w:sz w:val="24"/>
        </w:rPr>
        <w:t>本专业校内实习必须具备的实训室与设备设施和主要工具的名称及数量见下表。</w:t>
      </w:r>
    </w:p>
    <w:tbl>
      <w:tblPr>
        <w:tblStyle w:val="20"/>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120"/>
        <w:gridCol w:w="3819"/>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91" w:type="dxa"/>
            <w:tcBorders>
              <w:tl2br w:val="nil"/>
              <w:tr2bl w:val="nil"/>
            </w:tcBorders>
            <w:vAlign w:val="center"/>
          </w:tcPr>
          <w:p>
            <w:pPr>
              <w:widowControl/>
              <w:snapToGrid w:val="0"/>
              <w:jc w:val="center"/>
              <w:rPr>
                <w:rFonts w:ascii="宋体" w:hAnsi="宋体" w:eastAsia="宋体" w:cs="宋体"/>
                <w:b/>
                <w:color w:val="000000"/>
                <w:kern w:val="0"/>
                <w:szCs w:val="21"/>
              </w:rPr>
            </w:pPr>
            <w:r>
              <w:rPr>
                <w:rFonts w:hint="eastAsia" w:ascii="宋体" w:hAnsi="宋体" w:eastAsia="宋体" w:cs="宋体"/>
                <w:b/>
                <w:color w:val="000000"/>
                <w:kern w:val="0"/>
                <w:szCs w:val="21"/>
              </w:rPr>
              <w:t>序号</w:t>
            </w:r>
          </w:p>
        </w:tc>
        <w:tc>
          <w:tcPr>
            <w:tcW w:w="2120" w:type="dxa"/>
            <w:tcBorders>
              <w:tl2br w:val="nil"/>
              <w:tr2bl w:val="nil"/>
            </w:tcBorders>
            <w:vAlign w:val="center"/>
          </w:tcPr>
          <w:p>
            <w:pPr>
              <w:widowControl/>
              <w:snapToGrid w:val="0"/>
              <w:jc w:val="center"/>
              <w:rPr>
                <w:rFonts w:ascii="宋体" w:hAnsi="宋体" w:eastAsia="宋体" w:cs="宋体"/>
                <w:b/>
                <w:color w:val="000000"/>
                <w:kern w:val="0"/>
                <w:szCs w:val="21"/>
              </w:rPr>
            </w:pPr>
            <w:r>
              <w:rPr>
                <w:rFonts w:hint="eastAsia" w:ascii="宋体" w:hAnsi="宋体" w:eastAsia="宋体" w:cs="宋体"/>
                <w:b/>
                <w:color w:val="000000"/>
                <w:kern w:val="0"/>
                <w:szCs w:val="21"/>
              </w:rPr>
              <w:t>实训室名称</w:t>
            </w:r>
          </w:p>
        </w:tc>
        <w:tc>
          <w:tcPr>
            <w:tcW w:w="3819" w:type="dxa"/>
            <w:tcBorders>
              <w:tl2br w:val="nil"/>
              <w:tr2bl w:val="nil"/>
            </w:tcBorders>
            <w:vAlign w:val="center"/>
          </w:tcPr>
          <w:p>
            <w:pPr>
              <w:widowControl/>
              <w:snapToGrid w:val="0"/>
              <w:jc w:val="center"/>
              <w:rPr>
                <w:rFonts w:ascii="宋体" w:hAnsi="宋体" w:eastAsia="宋体" w:cs="宋体"/>
                <w:b/>
                <w:color w:val="000000"/>
                <w:kern w:val="0"/>
                <w:szCs w:val="21"/>
              </w:rPr>
            </w:pPr>
            <w:r>
              <w:rPr>
                <w:rFonts w:hint="eastAsia" w:ascii="宋体" w:hAnsi="宋体" w:eastAsia="宋体" w:cs="宋体"/>
                <w:b/>
                <w:color w:val="000000"/>
                <w:kern w:val="0"/>
                <w:szCs w:val="21"/>
              </w:rPr>
              <w:t>设备设施（工具）名称</w:t>
            </w:r>
          </w:p>
        </w:tc>
        <w:tc>
          <w:tcPr>
            <w:tcW w:w="1728" w:type="dxa"/>
            <w:tcBorders>
              <w:tl2br w:val="nil"/>
              <w:tr2bl w:val="nil"/>
            </w:tcBorders>
            <w:vAlign w:val="center"/>
          </w:tcPr>
          <w:p>
            <w:pPr>
              <w:widowControl/>
              <w:snapToGrid w:val="0"/>
              <w:jc w:val="center"/>
              <w:rPr>
                <w:rFonts w:ascii="宋体" w:hAnsi="宋体" w:eastAsia="宋体" w:cs="宋体"/>
                <w:b/>
                <w:color w:val="000000"/>
                <w:kern w:val="0"/>
                <w:szCs w:val="21"/>
              </w:rPr>
            </w:pPr>
            <w:r>
              <w:rPr>
                <w:rFonts w:hint="eastAsia" w:ascii="宋体" w:hAnsi="宋体" w:eastAsia="宋体" w:cs="宋体"/>
                <w:b/>
                <w:color w:val="000000"/>
                <w:kern w:val="0"/>
                <w:szCs w:val="21"/>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Merge w:val="restart"/>
            <w:tcBorders>
              <w:tl2br w:val="nil"/>
              <w:tr2bl w:val="nil"/>
            </w:tcBorders>
            <w:vAlign w:val="center"/>
          </w:tcPr>
          <w:p>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0" w:type="dxa"/>
            <w:vMerge w:val="restart"/>
            <w:tcBorders>
              <w:tl2br w:val="nil"/>
              <w:tr2bl w:val="nil"/>
            </w:tcBorders>
            <w:vAlign w:val="center"/>
          </w:tcPr>
          <w:p>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茶艺室</w:t>
            </w:r>
          </w:p>
        </w:tc>
        <w:tc>
          <w:tcPr>
            <w:tcW w:w="3819" w:type="dxa"/>
            <w:tcBorders>
              <w:tl2br w:val="nil"/>
              <w:tr2bl w:val="nil"/>
            </w:tcBorders>
            <w:vAlign w:val="center"/>
          </w:tcPr>
          <w:p>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茶桌</w:t>
            </w:r>
          </w:p>
        </w:tc>
        <w:tc>
          <w:tcPr>
            <w:tcW w:w="1728" w:type="dxa"/>
            <w:tcBorders>
              <w:tl2br w:val="nil"/>
              <w:tr2bl w:val="nil"/>
            </w:tcBorders>
            <w:vAlign w:val="center"/>
          </w:tcPr>
          <w:p>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Merge w:val="continue"/>
            <w:tcBorders>
              <w:tl2br w:val="nil"/>
              <w:tr2bl w:val="nil"/>
            </w:tcBorders>
            <w:vAlign w:val="center"/>
          </w:tcPr>
          <w:p>
            <w:pPr>
              <w:widowControl/>
              <w:snapToGrid w:val="0"/>
              <w:jc w:val="center"/>
              <w:rPr>
                <w:rFonts w:ascii="宋体" w:hAnsi="宋体" w:eastAsia="宋体" w:cs="宋体"/>
                <w:color w:val="000000"/>
                <w:kern w:val="0"/>
                <w:szCs w:val="21"/>
              </w:rPr>
            </w:pPr>
          </w:p>
        </w:tc>
        <w:tc>
          <w:tcPr>
            <w:tcW w:w="2120" w:type="dxa"/>
            <w:vMerge w:val="continue"/>
            <w:tcBorders>
              <w:tl2br w:val="nil"/>
              <w:tr2bl w:val="nil"/>
            </w:tcBorders>
            <w:vAlign w:val="center"/>
          </w:tcPr>
          <w:p>
            <w:pPr>
              <w:widowControl/>
              <w:snapToGrid w:val="0"/>
              <w:jc w:val="center"/>
              <w:rPr>
                <w:rFonts w:ascii="宋体" w:hAnsi="宋体" w:eastAsia="宋体" w:cs="宋体"/>
                <w:color w:val="000000"/>
                <w:kern w:val="0"/>
                <w:szCs w:val="21"/>
              </w:rPr>
            </w:pPr>
          </w:p>
        </w:tc>
        <w:tc>
          <w:tcPr>
            <w:tcW w:w="3819" w:type="dxa"/>
            <w:tcBorders>
              <w:tl2br w:val="nil"/>
              <w:tr2bl w:val="nil"/>
            </w:tcBorders>
            <w:vAlign w:val="center"/>
          </w:tcPr>
          <w:p>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茶具</w:t>
            </w:r>
          </w:p>
        </w:tc>
        <w:tc>
          <w:tcPr>
            <w:tcW w:w="1728" w:type="dxa"/>
            <w:tcBorders>
              <w:tl2br w:val="nil"/>
              <w:tr2bl w:val="nil"/>
            </w:tcBorders>
            <w:vAlign w:val="center"/>
          </w:tcPr>
          <w:p>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Merge w:val="restart"/>
            <w:tcBorders>
              <w:tl2br w:val="nil"/>
              <w:tr2bl w:val="nil"/>
            </w:tcBorders>
            <w:vAlign w:val="center"/>
          </w:tcPr>
          <w:p>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120" w:type="dxa"/>
            <w:vMerge w:val="restart"/>
            <w:tcBorders>
              <w:tl2br w:val="nil"/>
              <w:tr2bl w:val="nil"/>
            </w:tcBorders>
            <w:vAlign w:val="center"/>
          </w:tcPr>
          <w:p>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餐饮服务室</w:t>
            </w:r>
          </w:p>
        </w:tc>
        <w:tc>
          <w:tcPr>
            <w:tcW w:w="3819" w:type="dxa"/>
            <w:tcBorders>
              <w:tl2br w:val="nil"/>
              <w:tr2bl w:val="nil"/>
            </w:tcBorders>
            <w:vAlign w:val="center"/>
          </w:tcPr>
          <w:p>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中餐台</w:t>
            </w:r>
          </w:p>
        </w:tc>
        <w:tc>
          <w:tcPr>
            <w:tcW w:w="1728" w:type="dxa"/>
            <w:tcBorders>
              <w:tl2br w:val="nil"/>
              <w:tr2bl w:val="nil"/>
            </w:tcBorders>
            <w:vAlign w:val="center"/>
          </w:tcPr>
          <w:p>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Merge w:val="continue"/>
            <w:tcBorders>
              <w:tl2br w:val="nil"/>
              <w:tr2bl w:val="nil"/>
            </w:tcBorders>
            <w:vAlign w:val="center"/>
          </w:tcPr>
          <w:p>
            <w:pPr>
              <w:widowControl/>
              <w:snapToGrid w:val="0"/>
              <w:jc w:val="center"/>
              <w:rPr>
                <w:rFonts w:ascii="宋体" w:hAnsi="宋体" w:eastAsia="宋体" w:cs="宋体"/>
                <w:color w:val="000000"/>
                <w:kern w:val="0"/>
                <w:szCs w:val="21"/>
              </w:rPr>
            </w:pPr>
          </w:p>
        </w:tc>
        <w:tc>
          <w:tcPr>
            <w:tcW w:w="2120" w:type="dxa"/>
            <w:vMerge w:val="continue"/>
            <w:tcBorders>
              <w:tl2br w:val="nil"/>
              <w:tr2bl w:val="nil"/>
            </w:tcBorders>
            <w:vAlign w:val="center"/>
          </w:tcPr>
          <w:p>
            <w:pPr>
              <w:widowControl/>
              <w:snapToGrid w:val="0"/>
              <w:jc w:val="center"/>
              <w:rPr>
                <w:rFonts w:ascii="宋体" w:hAnsi="宋体" w:eastAsia="宋体" w:cs="宋体"/>
                <w:color w:val="000000"/>
                <w:kern w:val="0"/>
                <w:szCs w:val="21"/>
              </w:rPr>
            </w:pPr>
          </w:p>
        </w:tc>
        <w:tc>
          <w:tcPr>
            <w:tcW w:w="3819" w:type="dxa"/>
            <w:tcBorders>
              <w:tl2br w:val="nil"/>
              <w:tr2bl w:val="nil"/>
            </w:tcBorders>
            <w:vAlign w:val="center"/>
          </w:tcPr>
          <w:p>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中餐用具</w:t>
            </w:r>
          </w:p>
        </w:tc>
        <w:tc>
          <w:tcPr>
            <w:tcW w:w="1728" w:type="dxa"/>
            <w:tcBorders>
              <w:tl2br w:val="nil"/>
              <w:tr2bl w:val="nil"/>
            </w:tcBorders>
            <w:vAlign w:val="center"/>
          </w:tcPr>
          <w:p>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58" w:type="dxa"/>
            <w:gridSpan w:val="4"/>
            <w:tcBorders>
              <w:tl2br w:val="nil"/>
              <w:tr2bl w:val="nil"/>
            </w:tcBorders>
            <w:vAlign w:val="center"/>
          </w:tcPr>
          <w:p>
            <w:pPr>
              <w:widowControl/>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说明：主要设施设备及工量具数量按照标准班最高40人/班配置。</w:t>
            </w:r>
          </w:p>
        </w:tc>
      </w:tr>
    </w:tbl>
    <w:p>
      <w:pPr>
        <w:spacing w:line="440" w:lineRule="exact"/>
        <w:ind w:left="420" w:leftChars="200"/>
        <w:outlineLvl w:val="2"/>
        <w:rPr>
          <w:rFonts w:ascii="宋体" w:hAnsi="宋体" w:eastAsia="宋体" w:cs="宋体"/>
          <w:b/>
          <w:sz w:val="24"/>
        </w:rPr>
      </w:pPr>
      <w:bookmarkStart w:id="73" w:name="_Toc32182"/>
      <w:bookmarkStart w:id="74" w:name="_Toc14110"/>
      <w:r>
        <w:rPr>
          <w:rFonts w:hint="eastAsia" w:ascii="宋体" w:hAnsi="宋体" w:eastAsia="宋体" w:cs="宋体"/>
          <w:b/>
          <w:sz w:val="24"/>
        </w:rPr>
        <w:t>3.校外实习基地</w:t>
      </w:r>
      <w:bookmarkEnd w:id="73"/>
      <w:bookmarkEnd w:id="74"/>
    </w:p>
    <w:p>
      <w:pPr>
        <w:spacing w:line="460" w:lineRule="exact"/>
        <w:ind w:firstLine="480" w:firstLineChars="200"/>
        <w:rPr>
          <w:rFonts w:ascii="宋体" w:hAnsi="宋体" w:eastAsia="宋体" w:cs="宋体"/>
          <w:sz w:val="24"/>
        </w:rPr>
      </w:pPr>
      <w:r>
        <w:rPr>
          <w:rFonts w:hint="eastAsia" w:ascii="宋体" w:hAnsi="宋体" w:eastAsia="宋体" w:cs="宋体"/>
          <w:sz w:val="24"/>
        </w:rPr>
        <w:t>根据旅游服务与管理专业人才培养需要和专业发展特点，建立两类校外实训基地：一类是以专业认识和参观为主的实训基地，能够反映目前专业方向工作类型，并能同时接纳较多学生学习，为新生入学教育和认识专业课程教学提供条件；另一类是以社会实践及学生岗位实习为主的实训基地，能够为学生提供真实专业方向综合实践轮岗训练的工作岗位，并能保证有效工作时间，该基地能根据培养目标要求和实践教学内容，校企合作共同制订实习计划和教学大纲，按进程精心编排教学设计并组织、管理教学过程。具体校外实训基地见以下一览表</w:t>
      </w:r>
      <w:bookmarkStart w:id="75" w:name="_Toc421211167"/>
      <w:bookmarkStart w:id="76" w:name="_Toc423458271"/>
      <w:r>
        <w:rPr>
          <w:rFonts w:hint="eastAsia" w:ascii="宋体" w:hAnsi="宋体" w:eastAsia="宋体" w:cs="宋体"/>
          <w:sz w:val="24"/>
        </w:rPr>
        <w:t>：</w:t>
      </w:r>
    </w:p>
    <w:tbl>
      <w:tblPr>
        <w:tblStyle w:val="20"/>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687"/>
        <w:gridCol w:w="3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snapToGrid w:val="0"/>
              <w:jc w:val="center"/>
              <w:rPr>
                <w:rFonts w:ascii="宋体" w:hAnsi="宋体" w:eastAsia="宋体" w:cs="宋体"/>
                <w:b/>
                <w:bCs/>
                <w:szCs w:val="21"/>
                <w:lang w:eastAsia="en-US"/>
              </w:rPr>
            </w:pPr>
            <w:r>
              <w:rPr>
                <w:rFonts w:hint="eastAsia" w:ascii="宋体" w:hAnsi="宋体" w:eastAsia="宋体" w:cs="宋体"/>
                <w:b/>
                <w:bCs/>
                <w:szCs w:val="21"/>
              </w:rPr>
              <w:t>序号</w:t>
            </w:r>
          </w:p>
        </w:tc>
        <w:tc>
          <w:tcPr>
            <w:tcW w:w="4687" w:type="dxa"/>
            <w:vAlign w:val="center"/>
          </w:tcPr>
          <w:p>
            <w:pPr>
              <w:snapToGrid w:val="0"/>
              <w:jc w:val="center"/>
              <w:rPr>
                <w:rFonts w:ascii="宋体" w:hAnsi="宋体" w:eastAsia="宋体" w:cs="宋体"/>
                <w:b/>
                <w:bCs/>
                <w:szCs w:val="21"/>
              </w:rPr>
            </w:pPr>
            <w:r>
              <w:rPr>
                <w:rFonts w:hint="eastAsia" w:ascii="宋体" w:hAnsi="宋体" w:eastAsia="宋体" w:cs="宋体"/>
                <w:b/>
                <w:bCs/>
                <w:szCs w:val="21"/>
              </w:rPr>
              <w:t>校外实训基地所在企业名称</w:t>
            </w:r>
          </w:p>
        </w:tc>
        <w:tc>
          <w:tcPr>
            <w:tcW w:w="3253" w:type="dxa"/>
            <w:vAlign w:val="center"/>
          </w:tcPr>
          <w:p>
            <w:pPr>
              <w:snapToGrid w:val="0"/>
              <w:jc w:val="center"/>
              <w:rPr>
                <w:rFonts w:ascii="宋体" w:hAnsi="宋体" w:eastAsia="宋体" w:cs="宋体"/>
                <w:b/>
                <w:bCs/>
                <w:szCs w:val="21"/>
                <w:lang w:eastAsia="en-US"/>
              </w:rPr>
            </w:pPr>
            <w:r>
              <w:rPr>
                <w:rFonts w:hint="eastAsia" w:ascii="宋体" w:hAnsi="宋体" w:eastAsia="宋体" w:cs="宋体"/>
                <w:b/>
                <w:bCs/>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snapToGrid w:val="0"/>
              <w:jc w:val="center"/>
              <w:rPr>
                <w:rFonts w:ascii="宋体" w:hAnsi="宋体" w:eastAsia="宋体" w:cs="宋体"/>
                <w:szCs w:val="21"/>
                <w:lang w:eastAsia="en-US"/>
              </w:rPr>
            </w:pPr>
            <w:r>
              <w:rPr>
                <w:rFonts w:hint="eastAsia" w:ascii="宋体" w:hAnsi="宋体" w:eastAsia="宋体" w:cs="宋体"/>
                <w:szCs w:val="21"/>
              </w:rPr>
              <w:t>1</w:t>
            </w:r>
          </w:p>
        </w:tc>
        <w:tc>
          <w:tcPr>
            <w:tcW w:w="4687" w:type="dxa"/>
            <w:vAlign w:val="center"/>
          </w:tcPr>
          <w:p>
            <w:pPr>
              <w:snapToGrid w:val="0"/>
              <w:jc w:val="center"/>
              <w:rPr>
                <w:rFonts w:ascii="宋体" w:hAnsi="宋体" w:eastAsia="宋体" w:cs="宋体"/>
                <w:szCs w:val="21"/>
              </w:rPr>
            </w:pPr>
            <w:r>
              <w:rPr>
                <w:rFonts w:hint="eastAsia" w:ascii="宋体" w:hAnsi="宋体" w:eastAsia="宋体" w:cs="宋体"/>
                <w:szCs w:val="21"/>
              </w:rPr>
              <w:t>阳江碧桂园凤凰酒店</w:t>
            </w:r>
          </w:p>
        </w:tc>
        <w:tc>
          <w:tcPr>
            <w:tcW w:w="3253" w:type="dxa"/>
            <w:vAlign w:val="center"/>
          </w:tcPr>
          <w:p>
            <w:pPr>
              <w:snapToGrid w:val="0"/>
              <w:jc w:val="center"/>
              <w:rPr>
                <w:rFonts w:ascii="宋体" w:hAnsi="宋体" w:eastAsia="宋体" w:cs="宋体"/>
                <w:szCs w:val="21"/>
              </w:rPr>
            </w:pPr>
            <w:r>
              <w:rPr>
                <w:rFonts w:ascii="宋体" w:hAnsi="宋体" w:eastAsia="宋体" w:cs="宋体"/>
                <w:szCs w:val="21"/>
              </w:rPr>
              <w:t>阳江市阳东区东城镇湖滨西路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snapToGrid w:val="0"/>
              <w:jc w:val="center"/>
              <w:rPr>
                <w:rFonts w:ascii="宋体" w:hAnsi="宋体" w:eastAsia="宋体" w:cs="宋体"/>
                <w:szCs w:val="21"/>
                <w:lang w:eastAsia="en-US"/>
              </w:rPr>
            </w:pPr>
            <w:r>
              <w:rPr>
                <w:rFonts w:hint="eastAsia" w:ascii="宋体" w:hAnsi="宋体" w:eastAsia="宋体" w:cs="宋体"/>
                <w:szCs w:val="21"/>
              </w:rPr>
              <w:t>2</w:t>
            </w:r>
          </w:p>
        </w:tc>
        <w:tc>
          <w:tcPr>
            <w:tcW w:w="4687" w:type="dxa"/>
            <w:vAlign w:val="center"/>
          </w:tcPr>
          <w:p>
            <w:pPr>
              <w:snapToGrid w:val="0"/>
              <w:jc w:val="center"/>
              <w:rPr>
                <w:rFonts w:ascii="宋体" w:hAnsi="宋体" w:eastAsia="宋体" w:cs="宋体"/>
                <w:szCs w:val="21"/>
              </w:rPr>
            </w:pPr>
            <w:r>
              <w:rPr>
                <w:rFonts w:hint="eastAsia" w:ascii="宋体" w:hAnsi="宋体" w:eastAsia="宋体" w:cs="宋体"/>
                <w:szCs w:val="21"/>
              </w:rPr>
              <w:t>阳江市名濠饭店</w:t>
            </w:r>
          </w:p>
        </w:tc>
        <w:tc>
          <w:tcPr>
            <w:tcW w:w="3253" w:type="dxa"/>
            <w:vAlign w:val="center"/>
          </w:tcPr>
          <w:p>
            <w:pPr>
              <w:snapToGrid w:val="0"/>
              <w:jc w:val="center"/>
              <w:rPr>
                <w:rFonts w:ascii="宋体" w:hAnsi="宋体" w:eastAsia="宋体" w:cs="宋体"/>
                <w:szCs w:val="21"/>
                <w:lang w:eastAsia="en-US"/>
              </w:rPr>
            </w:pPr>
            <w:r>
              <w:rPr>
                <w:rFonts w:hint="eastAsia" w:ascii="宋体" w:hAnsi="宋体" w:eastAsia="宋体" w:cs="宋体"/>
                <w:szCs w:val="21"/>
              </w:rPr>
              <w:t>阳江市江城区东风二路1号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widowControl/>
              <w:snapToGrid w:val="0"/>
              <w:jc w:val="center"/>
              <w:rPr>
                <w:rFonts w:ascii="宋体" w:hAnsi="宋体" w:eastAsia="宋体" w:cs="宋体"/>
                <w:kern w:val="0"/>
                <w:szCs w:val="21"/>
              </w:rPr>
            </w:pPr>
            <w:r>
              <w:rPr>
                <w:rFonts w:hint="eastAsia" w:ascii="宋体" w:hAnsi="宋体" w:eastAsia="宋体" w:cs="宋体"/>
                <w:kern w:val="0"/>
                <w:szCs w:val="21"/>
              </w:rPr>
              <w:t>3</w:t>
            </w:r>
          </w:p>
        </w:tc>
        <w:tc>
          <w:tcPr>
            <w:tcW w:w="4687" w:type="dxa"/>
            <w:vAlign w:val="center"/>
          </w:tcPr>
          <w:p>
            <w:pPr>
              <w:widowControl/>
              <w:snapToGrid w:val="0"/>
              <w:rPr>
                <w:rFonts w:ascii="宋体" w:hAnsi="宋体" w:eastAsia="宋体" w:cs="宋体"/>
                <w:kern w:val="0"/>
                <w:szCs w:val="21"/>
              </w:rPr>
            </w:pPr>
          </w:p>
        </w:tc>
        <w:tc>
          <w:tcPr>
            <w:tcW w:w="3253" w:type="dxa"/>
            <w:vAlign w:val="center"/>
          </w:tcPr>
          <w:p>
            <w:pPr>
              <w:widowControl/>
              <w:snapToGrid w:val="0"/>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widowControl/>
              <w:snapToGrid w:val="0"/>
              <w:jc w:val="center"/>
              <w:rPr>
                <w:rFonts w:ascii="宋体" w:hAnsi="宋体" w:eastAsia="宋体" w:cs="宋体"/>
                <w:kern w:val="0"/>
                <w:szCs w:val="21"/>
              </w:rPr>
            </w:pPr>
            <w:r>
              <w:rPr>
                <w:rFonts w:hint="eastAsia" w:ascii="宋体" w:hAnsi="宋体" w:eastAsia="宋体" w:cs="宋体"/>
                <w:kern w:val="0"/>
                <w:szCs w:val="21"/>
              </w:rPr>
              <w:t>4</w:t>
            </w:r>
          </w:p>
        </w:tc>
        <w:tc>
          <w:tcPr>
            <w:tcW w:w="4687" w:type="dxa"/>
            <w:vAlign w:val="center"/>
          </w:tcPr>
          <w:p>
            <w:pPr>
              <w:widowControl/>
              <w:snapToGrid w:val="0"/>
              <w:jc w:val="center"/>
              <w:rPr>
                <w:rFonts w:ascii="宋体" w:hAnsi="宋体" w:eastAsia="宋体" w:cs="宋体"/>
                <w:kern w:val="0"/>
                <w:szCs w:val="21"/>
              </w:rPr>
            </w:pPr>
          </w:p>
        </w:tc>
        <w:tc>
          <w:tcPr>
            <w:tcW w:w="3253" w:type="dxa"/>
            <w:vAlign w:val="center"/>
          </w:tcPr>
          <w:p>
            <w:pPr>
              <w:widowControl/>
              <w:snapToGrid w:val="0"/>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widowControl/>
              <w:snapToGrid w:val="0"/>
              <w:jc w:val="center"/>
              <w:rPr>
                <w:rFonts w:ascii="宋体" w:hAnsi="宋体" w:eastAsia="宋体" w:cs="宋体"/>
                <w:kern w:val="0"/>
                <w:szCs w:val="21"/>
              </w:rPr>
            </w:pPr>
            <w:r>
              <w:rPr>
                <w:rFonts w:hint="eastAsia" w:ascii="宋体" w:hAnsi="宋体" w:eastAsia="宋体" w:cs="宋体"/>
                <w:kern w:val="0"/>
                <w:szCs w:val="21"/>
              </w:rPr>
              <w:t>5</w:t>
            </w:r>
          </w:p>
        </w:tc>
        <w:tc>
          <w:tcPr>
            <w:tcW w:w="4687" w:type="dxa"/>
            <w:vAlign w:val="center"/>
          </w:tcPr>
          <w:p>
            <w:pPr>
              <w:widowControl/>
              <w:snapToGrid w:val="0"/>
              <w:jc w:val="center"/>
              <w:rPr>
                <w:rFonts w:ascii="宋体" w:hAnsi="宋体" w:eastAsia="宋体" w:cs="宋体"/>
                <w:kern w:val="0"/>
                <w:szCs w:val="21"/>
              </w:rPr>
            </w:pPr>
          </w:p>
        </w:tc>
        <w:tc>
          <w:tcPr>
            <w:tcW w:w="3253" w:type="dxa"/>
            <w:vAlign w:val="center"/>
          </w:tcPr>
          <w:p>
            <w:pPr>
              <w:widowControl/>
              <w:snapToGrid w:val="0"/>
              <w:jc w:val="center"/>
              <w:rPr>
                <w:rFonts w:ascii="宋体" w:hAnsi="宋体" w:eastAsia="宋体" w:cs="宋体"/>
                <w:kern w:val="0"/>
                <w:szCs w:val="21"/>
              </w:rPr>
            </w:pPr>
          </w:p>
        </w:tc>
      </w:tr>
      <w:bookmarkEnd w:id="75"/>
      <w:bookmarkEnd w:id="76"/>
    </w:tbl>
    <w:p>
      <w:pPr>
        <w:pStyle w:val="4"/>
        <w:spacing w:before="93" w:after="93"/>
        <w:ind w:firstLine="561"/>
      </w:pPr>
      <w:bookmarkStart w:id="77" w:name="_Toc25880"/>
      <w:bookmarkStart w:id="78" w:name="_Toc17807"/>
      <w:bookmarkStart w:id="79" w:name="_Toc14465"/>
      <w:bookmarkStart w:id="80" w:name="_Toc25610"/>
      <w:bookmarkStart w:id="81" w:name="_Toc21561"/>
      <w:r>
        <w:rPr>
          <w:rFonts w:hint="eastAsia"/>
        </w:rPr>
        <w:t>（三）教学资源</w:t>
      </w:r>
      <w:bookmarkEnd w:id="77"/>
      <w:bookmarkEnd w:id="78"/>
      <w:bookmarkEnd w:id="79"/>
      <w:bookmarkEnd w:id="80"/>
      <w:bookmarkEnd w:id="81"/>
    </w:p>
    <w:p>
      <w:pPr>
        <w:spacing w:line="460" w:lineRule="exact"/>
        <w:ind w:firstLine="480" w:firstLineChars="200"/>
        <w:rPr>
          <w:rFonts w:ascii="宋体" w:hAnsi="宋体" w:eastAsia="宋体" w:cs="宋体"/>
          <w:sz w:val="24"/>
        </w:rPr>
      </w:pPr>
      <w:bookmarkStart w:id="82" w:name="_Toc24185"/>
      <w:bookmarkStart w:id="83" w:name="_Toc31772"/>
      <w:bookmarkStart w:id="84" w:name="_Toc9715"/>
      <w:bookmarkStart w:id="85" w:name="_Toc404"/>
      <w:r>
        <w:rPr>
          <w:rFonts w:hint="eastAsia" w:ascii="宋体" w:hAnsi="宋体" w:eastAsia="宋体" w:cs="宋体"/>
          <w:sz w:val="24"/>
        </w:rPr>
        <w:t>教学资源主要包括能够满足学生学习、教师专业教学研究和教学实施需求的教材、图书及数字化资源等。</w:t>
      </w:r>
    </w:p>
    <w:p>
      <w:pPr>
        <w:keepNext/>
        <w:keepLines/>
        <w:spacing w:beforeLines="30"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1.教材选用</w:t>
      </w:r>
    </w:p>
    <w:p>
      <w:pPr>
        <w:spacing w:line="460" w:lineRule="exact"/>
        <w:ind w:firstLine="480" w:firstLineChars="200"/>
        <w:rPr>
          <w:rFonts w:ascii="宋体" w:hAnsi="宋体" w:eastAsia="宋体" w:cs="宋体"/>
          <w:sz w:val="24"/>
        </w:rPr>
      </w:pPr>
      <w:r>
        <w:rPr>
          <w:rFonts w:hint="eastAsia" w:ascii="宋体" w:hAnsi="宋体" w:eastAsia="宋体" w:cs="宋体"/>
          <w:sz w:val="24"/>
        </w:rPr>
        <w:t>按照国家规定，经过规范程序选用教材，优先选用国家规划教材和国家优秀教材或国家职业技能等级考核培训教程。专业课程教材应体现本行业新技术、新规范、新标准、新形态。对于相关职业技能等级，在我校社会培训评价机构的基础上，组织建设题库、开发考证辅导教参教材；对于其他涉及书证融通的专业教材，建议与国家级与行业企业培训评价组织合作，共同探讨行业统一技能考核标准，推广标准实施。同时结合学校所在区域企业从业人员技术技能提升实际培训需求，开发针对性较强的社会培训资源。</w:t>
      </w:r>
    </w:p>
    <w:p>
      <w:pPr>
        <w:keepNext/>
        <w:keepLines/>
        <w:spacing w:beforeLines="30"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2.图书文献配备</w:t>
      </w:r>
    </w:p>
    <w:p>
      <w:pPr>
        <w:spacing w:line="460" w:lineRule="exact"/>
        <w:ind w:firstLine="480" w:firstLineChars="200"/>
        <w:rPr>
          <w:rFonts w:ascii="宋体" w:hAnsi="宋体" w:eastAsia="宋体" w:cs="宋体"/>
          <w:sz w:val="24"/>
        </w:rPr>
      </w:pPr>
      <w:r>
        <w:rPr>
          <w:rFonts w:hint="eastAsia" w:ascii="宋体" w:hAnsi="宋体" w:eastAsia="宋体" w:cs="宋体"/>
          <w:sz w:val="24"/>
        </w:rPr>
        <w:t>图书资料配备要求中职旅游服务与管理专业相关图书文献配备，应能满足人才培养、专业建设、教科研等工作的需要，方便师生查询、借阅，且定期更新。专业类图书文献主要包括电商行业等相关的图书文献。</w:t>
      </w:r>
    </w:p>
    <w:p>
      <w:pPr>
        <w:keepNext/>
        <w:keepLines/>
        <w:spacing w:beforeLines="30"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3.数字教学资源配置</w:t>
      </w:r>
    </w:p>
    <w:p>
      <w:pPr>
        <w:spacing w:line="460" w:lineRule="exact"/>
        <w:ind w:firstLine="480" w:firstLineChars="200"/>
        <w:rPr>
          <w:rFonts w:ascii="宋体" w:hAnsi="宋体" w:eastAsia="宋体" w:cs="宋体"/>
          <w:sz w:val="24"/>
        </w:rPr>
      </w:pPr>
      <w:bookmarkStart w:id="86" w:name="_Toc21147"/>
      <w:r>
        <w:rPr>
          <w:rFonts w:hint="eastAsia" w:ascii="宋体" w:hAnsi="宋体" w:eastAsia="宋体" w:cs="宋体"/>
          <w:sz w:val="24"/>
          <w:lang w:val="zh-TW" w:eastAsia="zh-TW"/>
        </w:rPr>
        <w:t>学校与行业、企业共同建设共享型精品课程信息化教学资源。</w:t>
      </w:r>
      <w:r>
        <w:rPr>
          <w:rFonts w:hint="eastAsia" w:ascii="宋体" w:hAnsi="宋体" w:eastAsia="宋体" w:cs="宋体"/>
          <w:sz w:val="24"/>
        </w:rPr>
        <w:t>配备与本专业有关的音视频素材、教学课件、数字化教学案例库、虚拟仿真软件、数字教材等专业教学资源库，种类丰富、形式多样、使用便捷、动态更新、满足教学。</w:t>
      </w:r>
      <w:bookmarkEnd w:id="86"/>
    </w:p>
    <w:p>
      <w:pPr>
        <w:pStyle w:val="4"/>
        <w:spacing w:before="93" w:after="93"/>
        <w:ind w:firstLine="561"/>
      </w:pPr>
      <w:bookmarkStart w:id="87" w:name="_Toc26072"/>
      <w:r>
        <w:rPr>
          <w:rFonts w:hint="eastAsia"/>
        </w:rPr>
        <w:t>（四）教学实施</w:t>
      </w:r>
      <w:bookmarkEnd w:id="82"/>
      <w:bookmarkEnd w:id="83"/>
      <w:bookmarkEnd w:id="84"/>
      <w:bookmarkEnd w:id="85"/>
      <w:bookmarkEnd w:id="87"/>
    </w:p>
    <w:p>
      <w:pPr>
        <w:spacing w:line="460" w:lineRule="exact"/>
        <w:ind w:firstLine="480" w:firstLineChars="200"/>
        <w:rPr>
          <w:rFonts w:ascii="宋体" w:hAnsi="宋体" w:eastAsia="宋体" w:cs="宋体"/>
          <w:sz w:val="24"/>
        </w:rPr>
      </w:pPr>
      <w:r>
        <w:rPr>
          <w:rFonts w:hint="eastAsia" w:ascii="宋体" w:hAnsi="宋体" w:eastAsia="宋体" w:cs="宋体"/>
          <w:sz w:val="24"/>
        </w:rPr>
        <w:t>坚持以习近平新时代中国特色社会主义思想为指导，积极构建“思政课程+课程思政”大格局，推进全员全过程全方位“三全育人”，实现思想政治教育与网络营销技术技能培养的有机统一。推动教师、教材、教法改革，教师要准确把握课程教学要求，做好课程总体设计，规范编写和严格执行教案，按程序选用教材，合理运用各类教学资源，做好教学组织实施。</w:t>
      </w:r>
    </w:p>
    <w:p>
      <w:pPr>
        <w:keepNext/>
        <w:keepLines/>
        <w:spacing w:beforeLines="30"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1.公共基础课</w:t>
      </w:r>
    </w:p>
    <w:p>
      <w:pPr>
        <w:spacing w:line="440" w:lineRule="exact"/>
        <w:ind w:firstLine="480" w:firstLineChars="200"/>
        <w:rPr>
          <w:rFonts w:ascii="宋体" w:hAnsi="宋体" w:eastAsia="宋体" w:cs="宋体"/>
          <w:sz w:val="24"/>
        </w:rPr>
      </w:pPr>
      <w:r>
        <w:rPr>
          <w:rFonts w:hint="eastAsia" w:ascii="宋体" w:hAnsi="宋体" w:eastAsia="宋体" w:cs="宋体"/>
          <w:sz w:val="24"/>
        </w:rPr>
        <w:t>公共基础课的任务是依据教育部统颁的相关课程教学标准的基本要求，引导学生树立正确的世界观、人生观和价值观，提高学生思想政治素质、职业道德水平和科学文化素养；为专业知识的学习和职业技能的培养奠定基础，满足学生职业生涯发展的需要，促进终身学习。推行案例教学、情境教学等教学模式的改革，教学方法、教学手段的创新，突出“学生为中心”的教育教学理念，调动学生学习积极性，注重学生学习能力和学习习惯的培养，为学生综合素质的提高、职业能力的形成和可持续发展奠定基础。</w:t>
      </w:r>
    </w:p>
    <w:p>
      <w:pPr>
        <w:keepNext/>
        <w:keepLines/>
        <w:spacing w:beforeLines="30"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2.专业课程</w:t>
      </w:r>
    </w:p>
    <w:p>
      <w:pPr>
        <w:spacing w:line="460" w:lineRule="exact"/>
        <w:ind w:firstLine="480" w:firstLineChars="200"/>
        <w:rPr>
          <w:rFonts w:ascii="宋体" w:hAnsi="宋体" w:eastAsia="宋体" w:cs="宋体"/>
          <w:sz w:val="24"/>
        </w:rPr>
      </w:pPr>
      <w:r>
        <w:rPr>
          <w:rFonts w:hint="eastAsia" w:ascii="宋体" w:hAnsi="宋体" w:eastAsia="宋体" w:cs="宋体"/>
          <w:sz w:val="24"/>
        </w:rPr>
        <w:t>旅游服务与管理专业的核心课程的任务是培养学生掌握必要的相关专业知识，以及各个方向都需要的比较熟练的职业技能，提高学生就业创业能力和适应职业变化的能力。</w:t>
      </w:r>
    </w:p>
    <w:p>
      <w:pPr>
        <w:spacing w:line="460" w:lineRule="exact"/>
        <w:ind w:firstLine="480" w:firstLineChars="200"/>
        <w:rPr>
          <w:rFonts w:ascii="宋体" w:hAnsi="宋体" w:eastAsia="宋体" w:cs="宋体"/>
          <w:sz w:val="24"/>
        </w:rPr>
      </w:pPr>
      <w:r>
        <w:rPr>
          <w:rFonts w:hint="eastAsia" w:ascii="宋体" w:hAnsi="宋体" w:eastAsia="宋体" w:cs="宋体"/>
          <w:sz w:val="24"/>
        </w:rPr>
        <w:t>在教学实践中，根据教学内容设置的需要，配合学生的学习特点，采取灵活多样的教学方法，推行项目教学、情境教学、工作过程导向教学、一体化课程教学等教学模式。突出实战，突出动手能力培养，突出“做中学、做中教、教学做相结合”的职业教育教学特色，强化理实一体化教学。</w:t>
      </w:r>
    </w:p>
    <w:p>
      <w:pPr>
        <w:keepNext/>
        <w:keepLines/>
        <w:spacing w:beforeLines="30"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3.实践教学</w:t>
      </w:r>
    </w:p>
    <w:p>
      <w:pPr>
        <w:spacing w:line="460" w:lineRule="exact"/>
        <w:ind w:firstLine="480" w:firstLineChars="200"/>
        <w:rPr>
          <w:rFonts w:ascii="宋体" w:hAnsi="宋体" w:eastAsia="宋体" w:cs="宋体"/>
          <w:sz w:val="24"/>
        </w:rPr>
      </w:pPr>
      <w:r>
        <w:rPr>
          <w:rFonts w:hint="eastAsia" w:ascii="宋体" w:hAnsi="宋体" w:eastAsia="宋体" w:cs="宋体"/>
          <w:sz w:val="24"/>
        </w:rPr>
        <w:t>实践教学是专业技能课程教学的重要内容，是培养学生良好的职业道德，强化学生实践能力，提高综合职业能力的重要环节。坚持工学结合、校企合作，强化教学、学习、实训相融合的教育教学活动，重视校内教学实训。加强专业实践课程教学、加大实训实习在教学中的比重，完善专业实践课程体系。要按照专业培养目标的要求和教学计划的安排，学校和实习单位共同制定实习计划，强化以育人为目标的实训实习考核评价。创新岗位实习形式，组织开展专业教学和职业技能训练，保证学生岗位实习的岗位与其所学专业面向的岗位群基本一致，健全学生实习责任保险制度。</w:t>
      </w:r>
    </w:p>
    <w:p>
      <w:pPr>
        <w:spacing w:line="460" w:lineRule="exact"/>
        <w:ind w:firstLine="480" w:firstLineChars="200"/>
        <w:rPr>
          <w:rFonts w:ascii="宋体" w:hAnsi="宋体" w:eastAsia="宋体" w:cs="宋体"/>
          <w:sz w:val="24"/>
        </w:rPr>
      </w:pPr>
      <w:r>
        <w:rPr>
          <w:rFonts w:hint="eastAsia" w:ascii="宋体" w:hAnsi="宋体" w:eastAsia="宋体" w:cs="宋体"/>
          <w:sz w:val="24"/>
        </w:rPr>
        <w:t>专业采取分段式嵌入实习实践综合项目，包括职业体验、技能考证训练、专业社会实践、岗位实习等环节，分别安排在入学第一周、寒暑假、教学周课余时间以及第六学期，分段式嵌入真实的企业岗位实践，多阶段学以致用。</w:t>
      </w:r>
    </w:p>
    <w:p>
      <w:pPr>
        <w:pStyle w:val="4"/>
        <w:spacing w:before="93" w:after="93"/>
        <w:ind w:firstLine="561"/>
      </w:pPr>
      <w:bookmarkStart w:id="88" w:name="_Toc16334"/>
      <w:bookmarkStart w:id="89" w:name="_Toc11716"/>
      <w:bookmarkStart w:id="90" w:name="_Toc21367"/>
      <w:bookmarkStart w:id="91" w:name="_Toc21723"/>
      <w:bookmarkStart w:id="92" w:name="_Toc31079"/>
      <w:r>
        <w:rPr>
          <w:rFonts w:hint="eastAsia"/>
        </w:rPr>
        <w:t>（五）学习评价</w:t>
      </w:r>
      <w:bookmarkEnd w:id="88"/>
      <w:bookmarkEnd w:id="89"/>
      <w:bookmarkEnd w:id="90"/>
      <w:bookmarkEnd w:id="91"/>
      <w:bookmarkEnd w:id="92"/>
    </w:p>
    <w:p>
      <w:pPr>
        <w:spacing w:line="460" w:lineRule="exact"/>
        <w:ind w:firstLine="480" w:firstLineChars="200"/>
        <w:rPr>
          <w:rFonts w:ascii="宋体" w:hAnsi="宋体" w:eastAsia="宋体" w:cs="宋体"/>
          <w:sz w:val="24"/>
        </w:rPr>
      </w:pPr>
      <w:r>
        <w:rPr>
          <w:rFonts w:hint="eastAsia" w:ascii="宋体" w:hAnsi="宋体" w:eastAsia="宋体" w:cs="宋体"/>
          <w:sz w:val="24"/>
        </w:rPr>
        <w:t>教学评价主要以过程性评价、结果性评价、课程总体评价和岗位实习评价相结合的方式，同时融入技能考证等多元评价。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pPr>
        <w:keepNext/>
        <w:keepLines/>
        <w:spacing w:beforeLines="30"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1.过程性考核</w:t>
      </w:r>
    </w:p>
    <w:p>
      <w:pPr>
        <w:spacing w:line="460" w:lineRule="exact"/>
        <w:ind w:firstLine="480" w:firstLineChars="200"/>
        <w:rPr>
          <w:rFonts w:ascii="宋体" w:hAnsi="宋体" w:eastAsia="宋体" w:cs="宋体"/>
          <w:sz w:val="24"/>
        </w:rPr>
      </w:pPr>
      <w:r>
        <w:rPr>
          <w:rFonts w:hint="eastAsia" w:ascii="宋体" w:hAnsi="宋体" w:eastAsia="宋体" w:cs="宋体"/>
          <w:sz w:val="24"/>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pPr>
        <w:keepNext/>
        <w:keepLines/>
        <w:spacing w:beforeLines="30"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2.结果性考核</w:t>
      </w:r>
    </w:p>
    <w:p>
      <w:pPr>
        <w:spacing w:line="460" w:lineRule="exact"/>
        <w:ind w:firstLine="480" w:firstLineChars="200"/>
        <w:rPr>
          <w:rFonts w:ascii="宋体" w:hAnsi="宋体" w:eastAsia="宋体" w:cs="宋体"/>
          <w:sz w:val="24"/>
        </w:rPr>
      </w:pPr>
      <w:r>
        <w:rPr>
          <w:rFonts w:hint="eastAsia" w:ascii="宋体" w:hAnsi="宋体" w:eastAsia="宋体" w:cs="宋体"/>
          <w:sz w:val="24"/>
        </w:rPr>
        <w:t>主要用于考核学生对课程知识的理解和掌握，通过期末考试或答辩等方式来进行考核评价。</w:t>
      </w:r>
    </w:p>
    <w:p>
      <w:pPr>
        <w:keepNext/>
        <w:keepLines/>
        <w:spacing w:beforeLines="30"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3.课程总体评价</w:t>
      </w:r>
    </w:p>
    <w:p>
      <w:pPr>
        <w:spacing w:line="460" w:lineRule="exact"/>
        <w:ind w:firstLine="480" w:firstLineChars="200"/>
        <w:rPr>
          <w:rFonts w:ascii="宋体" w:hAnsi="宋体" w:eastAsia="宋体" w:cs="宋体"/>
          <w:sz w:val="24"/>
        </w:rPr>
      </w:pPr>
      <w:r>
        <w:rPr>
          <w:rFonts w:hint="eastAsia" w:ascii="宋体" w:hAnsi="宋体" w:eastAsia="宋体" w:cs="宋体"/>
          <w:sz w:val="24"/>
        </w:rPr>
        <w:t>根据课程的目标与过程性考核评价成绩、终结性考核评价的相关程度，按比例计入课程期末成绩。</w:t>
      </w:r>
    </w:p>
    <w:p>
      <w:pPr>
        <w:keepNext/>
        <w:keepLines/>
        <w:spacing w:beforeLines="30" w:afterLines="30" w:line="460" w:lineRule="exact"/>
        <w:ind w:firstLine="482" w:firstLineChars="200"/>
        <w:outlineLvl w:val="2"/>
        <w:rPr>
          <w:rFonts w:ascii="宋体" w:hAnsi="宋体" w:eastAsia="宋体" w:cs="宋体"/>
          <w:b/>
          <w:sz w:val="24"/>
        </w:rPr>
      </w:pPr>
      <w:bookmarkStart w:id="93" w:name="_Toc438974536"/>
      <w:bookmarkStart w:id="94" w:name="_Toc423458267"/>
      <w:bookmarkStart w:id="95" w:name="_Toc421211163"/>
      <w:bookmarkStart w:id="96" w:name="_Toc437332779"/>
      <w:r>
        <w:rPr>
          <w:rFonts w:hint="eastAsia" w:ascii="宋体" w:hAnsi="宋体" w:eastAsia="宋体" w:cs="宋体"/>
          <w:b/>
          <w:sz w:val="24"/>
        </w:rPr>
        <w:t>4.岗位实习评价</w:t>
      </w:r>
      <w:bookmarkEnd w:id="93"/>
      <w:bookmarkEnd w:id="94"/>
      <w:bookmarkEnd w:id="95"/>
      <w:bookmarkEnd w:id="96"/>
    </w:p>
    <w:p>
      <w:pPr>
        <w:spacing w:line="460" w:lineRule="exact"/>
        <w:ind w:firstLine="480" w:firstLineChars="200"/>
        <w:rPr>
          <w:rFonts w:ascii="宋体" w:hAnsi="宋体" w:eastAsia="宋体" w:cs="宋体"/>
          <w:sz w:val="24"/>
        </w:rPr>
      </w:pPr>
      <w:r>
        <w:rPr>
          <w:rFonts w:hint="eastAsia" w:ascii="宋体" w:hAnsi="宋体" w:eastAsia="宋体" w:cs="宋体"/>
          <w:sz w:val="24"/>
        </w:rPr>
        <w:t>成立由企业（兼职）指导教师、专业指导教师和辅导员（或班主任）组成的考核组，主要对学生在实习期间的劳动纪律、工作态度、团队合作精神、人际沟通能力、专业技术能力和任务完成等方面情况进行考核评价。</w:t>
      </w:r>
    </w:p>
    <w:p>
      <w:pPr>
        <w:spacing w:line="460" w:lineRule="exact"/>
        <w:ind w:firstLine="480" w:firstLineChars="200"/>
        <w:rPr>
          <w:rFonts w:ascii="宋体" w:hAnsi="宋体" w:eastAsia="宋体" w:cs="宋体"/>
          <w:sz w:val="24"/>
        </w:rPr>
      </w:pPr>
      <w:r>
        <w:rPr>
          <w:rFonts w:hint="eastAsia" w:ascii="宋体" w:hAnsi="宋体" w:eastAsia="宋体" w:cs="宋体"/>
          <w:sz w:val="24"/>
        </w:rPr>
        <w:t>职业素养及各科成绩合格，身体健康，无违纪违法行为，准予毕业。</w:t>
      </w:r>
    </w:p>
    <w:p>
      <w:pPr>
        <w:pStyle w:val="4"/>
        <w:spacing w:before="93" w:after="93"/>
        <w:ind w:firstLine="561"/>
      </w:pPr>
      <w:bookmarkStart w:id="97" w:name="_Toc2531"/>
      <w:bookmarkStart w:id="98" w:name="_Toc23149"/>
      <w:bookmarkStart w:id="99" w:name="_Toc10744"/>
      <w:bookmarkStart w:id="100" w:name="_Toc19132"/>
      <w:bookmarkStart w:id="101" w:name="_Toc11671"/>
      <w:r>
        <w:rPr>
          <w:rFonts w:hint="eastAsia"/>
        </w:rPr>
        <w:t>（六）质量管理</w:t>
      </w:r>
      <w:bookmarkEnd w:id="97"/>
      <w:bookmarkEnd w:id="98"/>
      <w:bookmarkEnd w:id="99"/>
      <w:bookmarkEnd w:id="100"/>
      <w:bookmarkEnd w:id="101"/>
    </w:p>
    <w:p>
      <w:pPr>
        <w:keepNext/>
        <w:keepLines/>
        <w:spacing w:beforeLines="30"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1.教学策略</w:t>
      </w:r>
    </w:p>
    <w:p>
      <w:pPr>
        <w:spacing w:line="460" w:lineRule="exact"/>
        <w:ind w:firstLine="480" w:firstLineChars="200"/>
        <w:rPr>
          <w:rFonts w:ascii="宋体" w:hAnsi="宋体" w:eastAsia="宋体" w:cs="宋体"/>
          <w:sz w:val="24"/>
        </w:rPr>
      </w:pPr>
      <w:r>
        <w:rPr>
          <w:rFonts w:hint="eastAsia" w:ascii="宋体" w:hAnsi="宋体" w:eastAsia="宋体" w:cs="宋体"/>
          <w:sz w:val="24"/>
        </w:rPr>
        <w:t>公共基础课程教学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pPr>
        <w:spacing w:line="460" w:lineRule="exact"/>
        <w:ind w:firstLine="480" w:firstLineChars="200"/>
        <w:rPr>
          <w:rFonts w:ascii="宋体" w:hAnsi="宋体" w:eastAsia="宋体" w:cs="宋体"/>
          <w:sz w:val="24"/>
        </w:rPr>
      </w:pPr>
      <w:r>
        <w:rPr>
          <w:rFonts w:hint="eastAsia" w:ascii="宋体" w:hAnsi="宋体" w:eastAsia="宋体" w:cs="宋体"/>
          <w:sz w:val="24"/>
        </w:rPr>
        <w:t>专业课程的教学，按照职业岗位群的能力要求，强调理论实践一体化，采用“工作过程为导向”的课程开发路径，结合校企合作项目，突出“做中学、做中教”的职教特色，采用项目实战教学、案例教学、任务教学、角色扮演、情境教学等方法，创新课堂教学。</w:t>
      </w:r>
    </w:p>
    <w:p>
      <w:pPr>
        <w:keepNext/>
        <w:keepLines/>
        <w:spacing w:beforeLines="30"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2.教学管理</w:t>
      </w:r>
    </w:p>
    <w:p>
      <w:pPr>
        <w:spacing w:line="460" w:lineRule="exact"/>
        <w:ind w:firstLine="480" w:firstLineChars="200"/>
        <w:rPr>
          <w:rFonts w:ascii="宋体" w:hAnsi="宋体" w:eastAsia="宋体" w:cs="宋体"/>
          <w:sz w:val="24"/>
        </w:rPr>
      </w:pPr>
      <w:bookmarkStart w:id="102" w:name="_Toc25268"/>
      <w:bookmarkStart w:id="103" w:name="_Toc353"/>
      <w:bookmarkStart w:id="104" w:name="_Toc20217"/>
      <w:r>
        <w:rPr>
          <w:rFonts w:hint="eastAsia" w:ascii="宋体" w:hAnsi="宋体" w:eastAsia="宋体" w:cs="宋体"/>
          <w:sz w:val="24"/>
        </w:rPr>
        <w:t>（1）按照学校和本系部的教学管理规章制度维持教学秩序。加强对专业建设、教学运行的组织安排与监督检查，严格教学纪律和课堂纪律；开展教学评价，逐步落实学校规定的质量监控与保障体系任务，不断改进教学，提高人才培养质量，达到人才培养规格要求。</w:t>
      </w:r>
    </w:p>
    <w:p>
      <w:pPr>
        <w:spacing w:line="460" w:lineRule="exact"/>
        <w:ind w:firstLine="480" w:firstLineChars="200"/>
        <w:rPr>
          <w:rFonts w:ascii="宋体" w:hAnsi="宋体" w:eastAsia="宋体" w:cs="宋体"/>
          <w:sz w:val="24"/>
        </w:rPr>
      </w:pPr>
      <w:r>
        <w:rPr>
          <w:rFonts w:hint="eastAsia" w:ascii="宋体" w:hAnsi="宋体" w:eastAsia="宋体" w:cs="宋体"/>
          <w:sz w:val="24"/>
        </w:rPr>
        <w:t>（2）建立专业建设和课程教学质量诊断与改进机制。遵照学校有关工作方案，前期逐步对专业建设、课程教学各要素开展诊断与改进工作，后期对教师发展、学生质量进行诊断与改进，不断形成自我诊断与改进的机制与措施，促进教</w:t>
      </w:r>
    </w:p>
    <w:p>
      <w:pPr>
        <w:spacing w:line="460" w:lineRule="exact"/>
        <w:ind w:firstLine="480" w:firstLineChars="200"/>
        <w:rPr>
          <w:rFonts w:ascii="宋体" w:hAnsi="宋体" w:eastAsia="宋体" w:cs="宋体"/>
          <w:sz w:val="24"/>
        </w:rPr>
      </w:pPr>
      <w:r>
        <w:rPr>
          <w:rFonts w:hint="eastAsia" w:ascii="宋体" w:hAnsi="宋体" w:eastAsia="宋体" w:cs="宋体"/>
          <w:sz w:val="24"/>
        </w:rPr>
        <w:t>（3）广泛开展教研教改活动，提升教师业务能力。专业教研组定期组织集中备课，定期开展教研活动，定期组织教案（课程设计）评比、听说课、公开课、示范课等教研活动，利用评价分析结果有效改进专业教学，加强教师能力建设，提高课堂教学质量。</w:t>
      </w:r>
    </w:p>
    <w:p>
      <w:pPr>
        <w:spacing w:line="460" w:lineRule="exact"/>
        <w:ind w:firstLine="480" w:firstLineChars="200"/>
        <w:rPr>
          <w:rFonts w:ascii="宋体" w:hAnsi="宋体" w:eastAsia="宋体" w:cs="宋体"/>
          <w:sz w:val="24"/>
        </w:rPr>
      </w:pPr>
      <w:r>
        <w:rPr>
          <w:rFonts w:hint="eastAsia" w:ascii="宋体" w:hAnsi="宋体" w:eastAsia="宋体" w:cs="宋体"/>
          <w:sz w:val="24"/>
        </w:rPr>
        <w:t>（4）建立学业管理与预警机制。将学生学分获取、劳动教育、第二课堂、技能达标等各方面情况纳入学生学业预警与违纪预警，促进学生自我管理、自我学习、自我提高。</w:t>
      </w:r>
    </w:p>
    <w:p>
      <w:pPr>
        <w:spacing w:line="460" w:lineRule="exact"/>
        <w:ind w:firstLine="480" w:firstLineChars="200"/>
        <w:rPr>
          <w:rFonts w:ascii="宋体" w:hAnsi="宋体" w:eastAsia="宋体" w:cs="宋体"/>
          <w:sz w:val="24"/>
        </w:rPr>
      </w:pPr>
      <w:r>
        <w:rPr>
          <w:rFonts w:hint="eastAsia" w:ascii="宋体" w:hAnsi="宋体" w:eastAsia="宋体" w:cs="宋体"/>
          <w:sz w:val="24"/>
        </w:rPr>
        <w:t>（5）建立毕业生跟踪反馈机制及社会评价机制。对生源情况、在校生学业水平、毕业生就业情况等进行对比分析，定期评价人才培养质量和培养目标达成情况。</w:t>
      </w:r>
    </w:p>
    <w:p>
      <w:pPr>
        <w:keepNext/>
        <w:keepLines/>
        <w:numPr>
          <w:ilvl w:val="0"/>
          <w:numId w:val="2"/>
        </w:numPr>
        <w:spacing w:beforeLines="30" w:afterLines="30" w:line="460" w:lineRule="exact"/>
        <w:ind w:firstLine="602" w:firstLineChars="200"/>
        <w:outlineLvl w:val="0"/>
        <w:rPr>
          <w:rFonts w:eastAsia="黑体"/>
          <w:b/>
          <w:kern w:val="44"/>
          <w:sz w:val="30"/>
        </w:rPr>
      </w:pPr>
      <w:bookmarkStart w:id="105" w:name="_Toc92"/>
      <w:r>
        <w:rPr>
          <w:rFonts w:hint="eastAsia" w:eastAsia="黑体"/>
          <w:b/>
          <w:kern w:val="44"/>
          <w:sz w:val="30"/>
        </w:rPr>
        <w:t>毕业要求</w:t>
      </w:r>
      <w:bookmarkEnd w:id="102"/>
      <w:bookmarkEnd w:id="103"/>
      <w:bookmarkEnd w:id="104"/>
      <w:bookmarkEnd w:id="105"/>
    </w:p>
    <w:p>
      <w:pPr>
        <w:spacing w:line="460" w:lineRule="exact"/>
        <w:ind w:firstLine="480" w:firstLineChars="200"/>
        <w:rPr>
          <w:rFonts w:ascii="宋体" w:hAnsi="宋体" w:eastAsia="宋体" w:cs="宋体"/>
          <w:sz w:val="24"/>
        </w:rPr>
      </w:pPr>
      <w:r>
        <w:rPr>
          <w:rFonts w:hint="eastAsia" w:ascii="宋体" w:hAnsi="宋体" w:eastAsia="宋体" w:cs="宋体"/>
          <w:sz w:val="24"/>
        </w:rPr>
        <w:t>学生通过规定年限的学习，须修满至少170学分，完成规定的教学活动，具备基本的科学文化素养，良好的职业道德，具备各专业关联等岗位工作。</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汉仪粗仿宋简">
    <w:altName w:val="宋体"/>
    <w:panose1 w:val="00000000000000000000"/>
    <w:charset w:val="86"/>
    <w:family w:val="auto"/>
    <w:pitch w:val="default"/>
    <w:sig w:usb0="00000000" w:usb1="00000000" w:usb2="00000012" w:usb3="00000000" w:csb0="00040000" w:csb1="00000000"/>
  </w:font>
  <w:font w:name="楷体">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4097" o:spid="_x0000_s4097" o:spt="202" type="#_x0000_t202" style="position:absolute;left:0pt;margin-top:0pt;height:144pt;width:144pt;mso-position-horizontal:center;mso-position-horizontal-relative:margin;mso-wrap-style:none;z-index:251659264;mso-width-relative:page;mso-height-relative:page;" fillcolor="#FFFFFF"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v:path/>
          <v:fill on="f" focussize="0,0"/>
          <v:stroke on="f" weight="0.5pt" joinstyle="miter"/>
          <v:imagedata o:title=""/>
          <o:lock v:ext="edit"/>
          <v:textbox inset="0mm,0mm,0mm,0mm" style="mso-fit-shape-to-text:t;">
            <w:txbxContent>
              <w:p>
                <w:pPr>
                  <w:pStyle w:val="16"/>
                </w:pPr>
                <w:r>
                  <w:fldChar w:fldCharType="begin"/>
                </w:r>
                <w:r>
                  <w:instrText xml:space="preserve"> PAGE  \* MERGEFORMAT </w:instrText>
                </w:r>
                <w:r>
                  <w:fldChar w:fldCharType="separate"/>
                </w:r>
                <w:r>
                  <w:t>14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D28D4"/>
    <w:multiLevelType w:val="multilevel"/>
    <w:tmpl w:val="9B5D28D4"/>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960" w:firstLine="0"/>
      </w:pPr>
      <w:rPr>
        <w:rFonts w:hint="eastAsia"/>
        <w:sz w:val="24"/>
        <w:szCs w:val="24"/>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B0A8CCBE"/>
    <w:multiLevelType w:val="singleLevel"/>
    <w:tmpl w:val="B0A8CCBE"/>
    <w:lvl w:ilvl="0" w:tentative="0">
      <w:start w:val="1"/>
      <w:numFmt w:val="chineseCounting"/>
      <w:suff w:val="nothing"/>
      <w:lvlText w:val="%1、"/>
      <w:lvlJc w:val="left"/>
      <w:rPr>
        <w:rFonts w:hint="eastAsia"/>
      </w:rPr>
    </w:lvl>
  </w:abstractNum>
  <w:abstractNum w:abstractNumId="2">
    <w:nsid w:val="C30A9A31"/>
    <w:multiLevelType w:val="singleLevel"/>
    <w:tmpl w:val="C30A9A31"/>
    <w:lvl w:ilvl="0" w:tentative="0">
      <w:start w:val="1"/>
      <w:numFmt w:val="chineseCounting"/>
      <w:suff w:val="nothing"/>
      <w:lvlText w:val="（%1）"/>
      <w:lvlJc w:val="left"/>
      <w:pPr>
        <w:ind w:left="-136" w:firstLine="420"/>
      </w:pPr>
      <w:rPr>
        <w:rFonts w:hint="eastAsia"/>
      </w:rPr>
    </w:lvl>
  </w:abstractNum>
  <w:abstractNum w:abstractNumId="3">
    <w:nsid w:val="C405B2A6"/>
    <w:multiLevelType w:val="singleLevel"/>
    <w:tmpl w:val="C405B2A6"/>
    <w:lvl w:ilvl="0" w:tentative="0">
      <w:start w:val="1"/>
      <w:numFmt w:val="chineseCounting"/>
      <w:suff w:val="nothing"/>
      <w:lvlText w:val="（%1）"/>
      <w:lvlJc w:val="left"/>
      <w:pPr>
        <w:ind w:left="0" w:firstLine="420"/>
      </w:pPr>
      <w:rPr>
        <w:rFonts w:hint="eastAsia"/>
      </w:rPr>
    </w:lvl>
  </w:abstractNum>
  <w:abstractNum w:abstractNumId="4">
    <w:nsid w:val="1F86A040"/>
    <w:multiLevelType w:val="singleLevel"/>
    <w:tmpl w:val="1F86A040"/>
    <w:lvl w:ilvl="0" w:tentative="0">
      <w:start w:val="1"/>
      <w:numFmt w:val="chineseCounting"/>
      <w:suff w:val="nothing"/>
      <w:lvlText w:val="（%1）"/>
      <w:lvlJc w:val="left"/>
      <w:pPr>
        <w:ind w:left="0" w:firstLine="420"/>
      </w:pPr>
      <w:rPr>
        <w:rFonts w:hint="eastAsia"/>
      </w:rPr>
    </w:lvl>
  </w:abstractNum>
  <w:abstractNum w:abstractNumId="5">
    <w:nsid w:val="63E711E2"/>
    <w:multiLevelType w:val="singleLevel"/>
    <w:tmpl w:val="63E711E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EyM2E0MDc1YTQzMWJhM2QyMzg4NTQ5YzQwMDdjOTUifQ=="/>
  </w:docVars>
  <w:rsids>
    <w:rsidRoot w:val="002B67D6"/>
    <w:rsid w:val="000239F4"/>
    <w:rsid w:val="001555A1"/>
    <w:rsid w:val="00236B56"/>
    <w:rsid w:val="00240170"/>
    <w:rsid w:val="002A30CC"/>
    <w:rsid w:val="002B67D6"/>
    <w:rsid w:val="00311A5F"/>
    <w:rsid w:val="004474E7"/>
    <w:rsid w:val="00610C08"/>
    <w:rsid w:val="00670EDC"/>
    <w:rsid w:val="006B2CD3"/>
    <w:rsid w:val="007743B8"/>
    <w:rsid w:val="0080179E"/>
    <w:rsid w:val="0084721A"/>
    <w:rsid w:val="009556A4"/>
    <w:rsid w:val="009E0AA4"/>
    <w:rsid w:val="00A805EA"/>
    <w:rsid w:val="00AC6E37"/>
    <w:rsid w:val="00B2040C"/>
    <w:rsid w:val="00B50183"/>
    <w:rsid w:val="00C85E56"/>
    <w:rsid w:val="00D24672"/>
    <w:rsid w:val="00D8069F"/>
    <w:rsid w:val="00E12C62"/>
    <w:rsid w:val="00E13161"/>
    <w:rsid w:val="00F177D6"/>
    <w:rsid w:val="00F71FCE"/>
    <w:rsid w:val="00F97637"/>
    <w:rsid w:val="00FA50F9"/>
    <w:rsid w:val="02C2636E"/>
    <w:rsid w:val="04C4735A"/>
    <w:rsid w:val="05816FE5"/>
    <w:rsid w:val="0A00672A"/>
    <w:rsid w:val="0A110938"/>
    <w:rsid w:val="0FD7377E"/>
    <w:rsid w:val="0FD9172D"/>
    <w:rsid w:val="119A7465"/>
    <w:rsid w:val="18D8734F"/>
    <w:rsid w:val="19690971"/>
    <w:rsid w:val="1B851185"/>
    <w:rsid w:val="1BBB6955"/>
    <w:rsid w:val="1D2642A2"/>
    <w:rsid w:val="211A2370"/>
    <w:rsid w:val="217557F8"/>
    <w:rsid w:val="25AE7098"/>
    <w:rsid w:val="260F2545"/>
    <w:rsid w:val="285005F4"/>
    <w:rsid w:val="2A647F86"/>
    <w:rsid w:val="2B457FE9"/>
    <w:rsid w:val="2CD61610"/>
    <w:rsid w:val="2FD162F0"/>
    <w:rsid w:val="30694209"/>
    <w:rsid w:val="35686F3D"/>
    <w:rsid w:val="35FF470F"/>
    <w:rsid w:val="369E378C"/>
    <w:rsid w:val="37555A58"/>
    <w:rsid w:val="38A50B90"/>
    <w:rsid w:val="3F185CE9"/>
    <w:rsid w:val="3FD55595"/>
    <w:rsid w:val="43530F99"/>
    <w:rsid w:val="443F2347"/>
    <w:rsid w:val="4B7A7AC4"/>
    <w:rsid w:val="4BB86731"/>
    <w:rsid w:val="4D8C4518"/>
    <w:rsid w:val="4DAD3AA0"/>
    <w:rsid w:val="4E270132"/>
    <w:rsid w:val="529C6C41"/>
    <w:rsid w:val="579B4A54"/>
    <w:rsid w:val="58494A1C"/>
    <w:rsid w:val="588977DA"/>
    <w:rsid w:val="5AFA1187"/>
    <w:rsid w:val="5B2F72B9"/>
    <w:rsid w:val="5E0B5A6E"/>
    <w:rsid w:val="61371BA7"/>
    <w:rsid w:val="63305992"/>
    <w:rsid w:val="68917132"/>
    <w:rsid w:val="692E23BD"/>
    <w:rsid w:val="6A3C5081"/>
    <w:rsid w:val="6D0A63C2"/>
    <w:rsid w:val="6ED67D08"/>
    <w:rsid w:val="73607A73"/>
    <w:rsid w:val="74DC0F51"/>
    <w:rsid w:val="76245C51"/>
    <w:rsid w:val="77347978"/>
    <w:rsid w:val="784853C9"/>
    <w:rsid w:val="78957C5C"/>
    <w:rsid w:val="7B2D1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3"/>
    <w:qFormat/>
    <w:uiPriority w:val="0"/>
    <w:pPr>
      <w:keepNext/>
      <w:keepLines/>
      <w:numPr>
        <w:ilvl w:val="0"/>
        <w:numId w:val="1"/>
      </w:numPr>
      <w:spacing w:beforeLines="30" w:afterLines="30" w:line="440" w:lineRule="exact"/>
      <w:ind w:firstLine="723" w:firstLineChars="200"/>
      <w:outlineLvl w:val="0"/>
    </w:pPr>
    <w:rPr>
      <w:rFonts w:ascii="Calibri" w:hAnsi="Calibri" w:eastAsia="宋体" w:cs="Times New Roman"/>
      <w:bCs/>
      <w:kern w:val="44"/>
      <w:sz w:val="30"/>
      <w:szCs w:val="44"/>
    </w:rPr>
  </w:style>
  <w:style w:type="paragraph" w:styleId="4">
    <w:name w:val="heading 2"/>
    <w:basedOn w:val="1"/>
    <w:next w:val="1"/>
    <w:unhideWhenUsed/>
    <w:qFormat/>
    <w:uiPriority w:val="0"/>
    <w:pPr>
      <w:keepNext/>
      <w:keepLines/>
      <w:spacing w:beforeLines="30" w:afterLines="30" w:line="460" w:lineRule="exact"/>
      <w:ind w:firstLine="720" w:firstLineChars="200"/>
      <w:outlineLvl w:val="1"/>
    </w:pPr>
    <w:rPr>
      <w:rFonts w:ascii="Arial" w:hAnsi="Arial" w:eastAsia="华文楷体"/>
      <w:b/>
      <w:sz w:val="28"/>
    </w:rPr>
  </w:style>
  <w:style w:type="paragraph" w:styleId="5">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eastAsia="宋体"/>
      <w:kern w:val="0"/>
      <w:sz w:val="20"/>
    </w:rPr>
  </w:style>
  <w:style w:type="paragraph" w:styleId="11">
    <w:name w:val="caption"/>
    <w:basedOn w:val="1"/>
    <w:next w:val="1"/>
    <w:unhideWhenUsed/>
    <w:qFormat/>
    <w:uiPriority w:val="0"/>
    <w:pPr>
      <w:jc w:val="center"/>
    </w:pPr>
    <w:rPr>
      <w:rFonts w:ascii="Arial" w:hAnsi="Arial" w:eastAsia="黑体"/>
      <w:sz w:val="20"/>
    </w:rPr>
  </w:style>
  <w:style w:type="paragraph" w:styleId="12">
    <w:name w:val="Body Text"/>
    <w:basedOn w:val="1"/>
    <w:unhideWhenUsed/>
    <w:qFormat/>
    <w:uiPriority w:val="0"/>
    <w:pPr>
      <w:spacing w:after="120"/>
    </w:pPr>
    <w:rPr>
      <w:sz w:val="32"/>
    </w:rPr>
  </w:style>
  <w:style w:type="paragraph" w:styleId="13">
    <w:name w:val="Body Text Indent"/>
    <w:basedOn w:val="1"/>
    <w:semiHidden/>
    <w:unhideWhenUsed/>
    <w:qFormat/>
    <w:uiPriority w:val="0"/>
    <w:pPr>
      <w:spacing w:after="120"/>
      <w:ind w:left="420" w:leftChars="200"/>
    </w:pPr>
    <w:rPr>
      <w:sz w:val="24"/>
    </w:rPr>
  </w:style>
  <w:style w:type="paragraph" w:styleId="14">
    <w:name w:val="Body Text Indent 2"/>
    <w:qFormat/>
    <w:uiPriority w:val="0"/>
    <w:pPr>
      <w:widowControl w:val="0"/>
      <w:ind w:firstLine="560"/>
      <w:jc w:val="both"/>
    </w:pPr>
    <w:rPr>
      <w:rFonts w:ascii="Calibri" w:hAnsi="Calibri" w:eastAsia="汉仪粗仿宋简" w:cs="黑体"/>
      <w:kern w:val="2"/>
      <w:sz w:val="28"/>
      <w:szCs w:val="28"/>
      <w:lang w:val="en-US" w:eastAsia="zh-CN" w:bidi="ar-SA"/>
    </w:rPr>
  </w:style>
  <w:style w:type="paragraph" w:styleId="15">
    <w:name w:val="Balloon Text"/>
    <w:basedOn w:val="1"/>
    <w:link w:val="29"/>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Body Text First Indent"/>
    <w:basedOn w:val="12"/>
    <w:unhideWhenUsed/>
    <w:qFormat/>
    <w:uiPriority w:val="99"/>
    <w:pPr>
      <w:spacing w:beforeLines="30" w:line="460" w:lineRule="atLeast"/>
      <w:ind w:firstLine="420" w:firstLineChars="100"/>
    </w:pPr>
    <w:rPr>
      <w:rFonts w:eastAsia="宋体"/>
      <w:sz w:val="24"/>
      <w:szCs w:val="22"/>
    </w:rPr>
  </w:style>
  <w:style w:type="paragraph" w:styleId="19">
    <w:name w:val="Body Text First Indent 2"/>
    <w:basedOn w:val="13"/>
    <w:next w:val="12"/>
    <w:unhideWhenUsed/>
    <w:qFormat/>
    <w:uiPriority w:val="0"/>
    <w:pPr>
      <w:spacing w:beforeLines="30" w:afterLines="30" w:line="200" w:lineRule="exact"/>
      <w:ind w:firstLine="420" w:firstLineChars="200"/>
    </w:pPr>
    <w:rPr>
      <w:rFonts w:ascii="宋体"/>
      <w:spacing w:val="-4"/>
      <w:kern w:val="0"/>
      <w:szCs w:val="20"/>
    </w:rPr>
  </w:style>
  <w:style w:type="table" w:styleId="21">
    <w:name w:val="Table Grid"/>
    <w:basedOn w:val="2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
    <w:name w:val="标题 1 Char"/>
    <w:basedOn w:val="22"/>
    <w:link w:val="3"/>
    <w:qFormat/>
    <w:uiPriority w:val="9"/>
    <w:rPr>
      <w:rFonts w:ascii="Calibri" w:hAnsi="Calibri" w:eastAsia="宋体" w:cs="Times New Roman"/>
      <w:bCs/>
      <w:kern w:val="44"/>
      <w:sz w:val="28"/>
      <w:szCs w:val="44"/>
    </w:rPr>
  </w:style>
  <w:style w:type="paragraph" w:customStyle="1" w:styleId="24">
    <w:name w:val="WPSOffice手动目录 1"/>
    <w:uiPriority w:val="0"/>
    <w:rPr>
      <w:rFonts w:asciiTheme="minorHAnsi" w:hAnsiTheme="minorHAnsi" w:eastAsiaTheme="minorEastAsia" w:cstheme="minorBidi"/>
      <w:lang w:val="en-US" w:eastAsia="zh-CN" w:bidi="ar-SA"/>
    </w:rPr>
  </w:style>
  <w:style w:type="paragraph" w:customStyle="1" w:styleId="25">
    <w:name w:val="WPSOffice手动目录 2"/>
    <w:uiPriority w:val="0"/>
    <w:pPr>
      <w:ind w:left="200" w:leftChars="200"/>
    </w:pPr>
    <w:rPr>
      <w:rFonts w:asciiTheme="minorHAnsi" w:hAnsiTheme="minorHAnsi" w:eastAsiaTheme="minorEastAsia" w:cstheme="minorBidi"/>
      <w:lang w:val="en-US" w:eastAsia="zh-CN" w:bidi="ar-SA"/>
    </w:rPr>
  </w:style>
  <w:style w:type="paragraph" w:customStyle="1" w:styleId="26">
    <w:name w:val="_Style 3"/>
    <w:qFormat/>
    <w:uiPriority w:val="0"/>
    <w:pPr>
      <w:widowControl w:val="0"/>
      <w:spacing w:line="440" w:lineRule="exact"/>
      <w:ind w:firstLine="420" w:firstLineChars="200"/>
      <w:jc w:val="both"/>
    </w:pPr>
    <w:rPr>
      <w:rFonts w:ascii="Calibri" w:hAnsi="Calibri" w:eastAsia="宋体" w:cs="Times New Roman"/>
      <w:kern w:val="2"/>
      <w:szCs w:val="24"/>
      <w:lang w:val="en-US" w:eastAsia="zh-CN" w:bidi="ar-SA"/>
    </w:rPr>
  </w:style>
  <w:style w:type="character" w:customStyle="1" w:styleId="27">
    <w:name w:val="font31"/>
    <w:basedOn w:val="22"/>
    <w:qFormat/>
    <w:uiPriority w:val="0"/>
    <w:rPr>
      <w:rFonts w:hint="eastAsia" w:ascii="宋体" w:hAnsi="宋体" w:eastAsia="宋体" w:cs="宋体"/>
      <w:color w:val="000000"/>
      <w:sz w:val="22"/>
      <w:szCs w:val="22"/>
      <w:u w:val="none"/>
    </w:rPr>
  </w:style>
  <w:style w:type="character" w:customStyle="1" w:styleId="28">
    <w:name w:val="font81"/>
    <w:basedOn w:val="22"/>
    <w:qFormat/>
    <w:uiPriority w:val="0"/>
    <w:rPr>
      <w:rFonts w:hint="eastAsia" w:ascii="宋体" w:hAnsi="宋体" w:eastAsia="宋体" w:cs="宋体"/>
      <w:color w:val="000000"/>
      <w:sz w:val="21"/>
      <w:szCs w:val="21"/>
      <w:u w:val="none"/>
    </w:rPr>
  </w:style>
  <w:style w:type="character" w:customStyle="1" w:styleId="29">
    <w:name w:val="批注框文本 Char"/>
    <w:basedOn w:val="22"/>
    <w:link w:val="15"/>
    <w:uiPriority w:val="0"/>
    <w:rPr>
      <w:kern w:val="2"/>
      <w:sz w:val="18"/>
      <w:szCs w:val="18"/>
    </w:rPr>
  </w:style>
  <w:style w:type="paragraph" w:styleId="3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9854</Words>
  <Characters>10130</Characters>
  <Lines>86</Lines>
  <Paragraphs>24</Paragraphs>
  <TotalTime>3</TotalTime>
  <ScaleCrop>false</ScaleCrop>
  <LinksUpToDate>false</LinksUpToDate>
  <CharactersWithSpaces>10204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2023-05-26T01:18:00Z</dcterms:created>
  <dc:creator>职教桥周洁</dc:creator>
  <cp:lastModifiedBy>yzgl</cp:lastModifiedBy>
  <dcterms:modified xsi:type="dcterms:W3CDTF">2023-06-21T02:43:11Z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782BFDECFC774FF488D7C49866AB345F</vt:lpwstr>
  </property>
</Properties>
</file>