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W w:w="8460" w:type="dxa"/>
        <w:tblInd w:w="0" w:type="dxa"/>
        <w:tblLayout w:type="fixed"/>
        <w:tblCellMar>
          <w:top w:w="0" w:type="dxa"/>
          <w:left w:w="108" w:type="dxa"/>
          <w:bottom w:w="0" w:type="dxa"/>
          <w:right w:w="108" w:type="dxa"/>
        </w:tblCellMar>
      </w:tblPr>
      <w:tblGrid>
        <w:gridCol w:w="1176"/>
        <w:gridCol w:w="7284"/>
      </w:tblGrid>
      <w:tr>
        <w:tblPrEx>
          <w:tblCellMar>
            <w:top w:w="0" w:type="dxa"/>
            <w:left w:w="108" w:type="dxa"/>
            <w:bottom w:w="0" w:type="dxa"/>
            <w:right w:w="108" w:type="dxa"/>
          </w:tblCellMar>
        </w:tblPrEx>
        <w:trPr>
          <w:trHeight w:val="1532" w:hRule="atLeast"/>
        </w:trPr>
        <w:tc>
          <w:tcPr>
            <w:tcW w:w="1191" w:type="dxa"/>
            <w:tcMar>
              <w:top w:w="0" w:type="dxa"/>
              <w:left w:w="0" w:type="dxa"/>
              <w:bottom w:w="0" w:type="dxa"/>
              <w:right w:w="0" w:type="dxa"/>
            </w:tcMar>
            <w:vAlign w:val="center"/>
          </w:tcPr>
          <w:p>
            <w:pPr>
              <w:spacing w:beforeLines="0" w:line="240" w:lineRule="auto"/>
              <w:ind w:right="360"/>
              <w:jc w:val="right"/>
              <w:rPr>
                <w:rFonts w:eastAsia="宋体"/>
                <w:sz w:val="21"/>
                <w:szCs w:val="24"/>
              </w:rPr>
            </w:pPr>
            <w:r>
              <w:rPr>
                <w:rFonts w:ascii="黑体" w:eastAsia="黑体"/>
                <w:sz w:val="36"/>
                <w:szCs w:val="36"/>
              </w:rPr>
              <w:drawing>
                <wp:inline distT="0" distB="0" distL="0" distR="0">
                  <wp:extent cx="685800" cy="685800"/>
                  <wp:effectExtent l="19050" t="0" r="0" b="0"/>
                  <wp:docPr id="1" name="图片 1" descr="阳江市第一职业技术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阳江市第一职业技术学校LOGO"/>
                          <pic:cNvPicPr>
                            <a:picLocks noChangeAspect="1" noChangeArrowheads="1"/>
                          </pic:cNvPicPr>
                        </pic:nvPicPr>
                        <pic:blipFill>
                          <a:blip r:embed="rId20"/>
                          <a:srcRect/>
                          <a:stretch>
                            <a:fillRect/>
                          </a:stretch>
                        </pic:blipFill>
                        <pic:spPr>
                          <a:xfrm>
                            <a:off x="0" y="0"/>
                            <a:ext cx="685800" cy="685800"/>
                          </a:xfrm>
                          <a:prstGeom prst="rect">
                            <a:avLst/>
                          </a:prstGeom>
                          <a:noFill/>
                          <a:ln w="9525">
                            <a:noFill/>
                            <a:miter lim="800000"/>
                            <a:headEnd/>
                            <a:tailEnd/>
                          </a:ln>
                        </pic:spPr>
                      </pic:pic>
                    </a:graphicData>
                  </a:graphic>
                </wp:inline>
              </w:drawing>
            </w:r>
          </w:p>
        </w:tc>
        <w:tc>
          <w:tcPr>
            <w:tcW w:w="7380" w:type="dxa"/>
            <w:tcMar>
              <w:top w:w="0" w:type="dxa"/>
              <w:left w:w="113" w:type="dxa"/>
              <w:bottom w:w="0" w:type="dxa"/>
              <w:right w:w="0" w:type="dxa"/>
            </w:tcMar>
            <w:vAlign w:val="center"/>
          </w:tcPr>
          <w:p>
            <w:pPr>
              <w:spacing w:beforeLines="0" w:line="360" w:lineRule="auto"/>
              <w:rPr>
                <w:rFonts w:ascii="华文彩云" w:eastAsia="华文彩云"/>
                <w:w w:val="90"/>
                <w:sz w:val="72"/>
                <w:szCs w:val="72"/>
              </w:rPr>
            </w:pPr>
            <w:r>
              <w:rPr>
                <w:rFonts w:hint="eastAsia" w:ascii="华文彩云" w:eastAsia="华文彩云"/>
                <w:w w:val="90"/>
                <w:sz w:val="72"/>
                <w:szCs w:val="72"/>
              </w:rPr>
              <w:t>阳江市第一职业技术学校</w:t>
            </w:r>
          </w:p>
        </w:tc>
      </w:tr>
    </w:tbl>
    <w:p>
      <w:pPr>
        <w:spacing w:beforeLines="0" w:line="240" w:lineRule="auto"/>
        <w:rPr>
          <w:rFonts w:eastAsia="宋体"/>
          <w:sz w:val="36"/>
          <w:szCs w:val="36"/>
        </w:rPr>
      </w:pPr>
    </w:p>
    <w:p>
      <w:pPr>
        <w:spacing w:beforeLines="0" w:line="240" w:lineRule="auto"/>
        <w:rPr>
          <w:rFonts w:eastAsia="宋体"/>
          <w:sz w:val="36"/>
          <w:szCs w:val="36"/>
        </w:rPr>
      </w:pPr>
    </w:p>
    <w:p>
      <w:pPr>
        <w:spacing w:beforeLines="0" w:line="240" w:lineRule="auto"/>
        <w:jc w:val="center"/>
        <w:rPr>
          <w:rFonts w:ascii="黑体" w:hAnsi="黑体" w:eastAsia="黑体"/>
          <w:b/>
          <w:sz w:val="72"/>
          <w:szCs w:val="72"/>
        </w:rPr>
      </w:pPr>
      <w:r>
        <w:rPr>
          <w:rFonts w:hint="eastAsia" w:ascii="黑体" w:hAnsi="黑体" w:eastAsia="黑体"/>
          <w:b/>
          <w:sz w:val="72"/>
          <w:szCs w:val="72"/>
        </w:rPr>
        <w:t>汽车运用与维修专业</w:t>
      </w:r>
    </w:p>
    <w:p>
      <w:pPr>
        <w:spacing w:beforeLines="0" w:line="240" w:lineRule="auto"/>
        <w:jc w:val="center"/>
        <w:rPr>
          <w:rFonts w:ascii="黑体" w:hAnsi="黑体" w:eastAsia="黑体"/>
          <w:b/>
          <w:sz w:val="72"/>
          <w:szCs w:val="72"/>
        </w:rPr>
      </w:pPr>
      <w:r>
        <w:rPr>
          <w:rFonts w:hint="eastAsia" w:ascii="黑体" w:hAnsi="黑体" w:eastAsia="黑体"/>
          <w:b/>
          <w:sz w:val="72"/>
          <w:szCs w:val="72"/>
        </w:rPr>
        <w:t>人才培养方案</w:t>
      </w:r>
    </w:p>
    <w:p>
      <w:pPr>
        <w:spacing w:beforeLines="0" w:line="240" w:lineRule="auto"/>
        <w:rPr>
          <w:rFonts w:ascii="黑体" w:hAnsi="黑体" w:eastAsia="黑体"/>
          <w:b/>
          <w:sz w:val="36"/>
          <w:szCs w:val="36"/>
        </w:rPr>
      </w:pPr>
    </w:p>
    <w:p>
      <w:pPr>
        <w:spacing w:beforeLines="0" w:line="240" w:lineRule="auto"/>
        <w:rPr>
          <w:rFonts w:ascii="黑体" w:hAnsi="黑体" w:eastAsia="黑体"/>
          <w:b/>
          <w:sz w:val="36"/>
          <w:szCs w:val="36"/>
        </w:rPr>
      </w:pPr>
    </w:p>
    <w:p>
      <w:pPr>
        <w:spacing w:beforeLines="0" w:line="480" w:lineRule="auto"/>
        <w:ind w:firstLine="1440" w:firstLineChars="400"/>
        <w:rPr>
          <w:rFonts w:ascii="黑体" w:hAnsi="黑体" w:eastAsia="黑体"/>
          <w:sz w:val="36"/>
          <w:szCs w:val="36"/>
        </w:rPr>
      </w:pPr>
      <w:r>
        <w:rPr>
          <w:rFonts w:hint="eastAsia" w:ascii="黑体" w:hAnsi="黑体" w:eastAsia="黑体"/>
          <w:sz w:val="36"/>
          <w:szCs w:val="36"/>
        </w:rPr>
        <w:t>主</w:t>
      </w:r>
      <w:r>
        <w:rPr>
          <w:rFonts w:ascii="黑体" w:hAnsi="黑体" w:eastAsia="黑体"/>
          <w:sz w:val="36"/>
          <w:szCs w:val="36"/>
        </w:rPr>
        <w:t xml:space="preserve">    </w:t>
      </w:r>
      <w:r>
        <w:rPr>
          <w:rFonts w:hint="eastAsia" w:ascii="黑体" w:hAnsi="黑体" w:eastAsia="黑体"/>
          <w:sz w:val="36"/>
          <w:szCs w:val="36"/>
        </w:rPr>
        <w:t>编：阮威雄</w:t>
      </w:r>
    </w:p>
    <w:p>
      <w:pPr>
        <w:spacing w:beforeLines="0" w:line="480" w:lineRule="auto"/>
        <w:ind w:firstLine="1440" w:firstLineChars="400"/>
        <w:rPr>
          <w:rFonts w:ascii="黑体" w:hAnsi="黑体" w:eastAsia="黑体"/>
          <w:sz w:val="36"/>
          <w:szCs w:val="36"/>
        </w:rPr>
      </w:pPr>
      <w:r>
        <w:rPr>
          <w:rFonts w:hint="eastAsia" w:ascii="黑体" w:hAnsi="黑体" w:eastAsia="黑体"/>
          <w:sz w:val="36"/>
          <w:szCs w:val="36"/>
        </w:rPr>
        <w:t>主</w:t>
      </w:r>
      <w:r>
        <w:rPr>
          <w:rFonts w:ascii="黑体" w:hAnsi="黑体" w:eastAsia="黑体"/>
          <w:sz w:val="36"/>
          <w:szCs w:val="36"/>
        </w:rPr>
        <w:t xml:space="preserve">    </w:t>
      </w:r>
      <w:r>
        <w:rPr>
          <w:rFonts w:hint="eastAsia" w:ascii="黑体" w:hAnsi="黑体" w:eastAsia="黑体"/>
          <w:sz w:val="36"/>
          <w:szCs w:val="36"/>
        </w:rPr>
        <w:t>审：杨丽萍 赵奕民 刘武英</w:t>
      </w:r>
    </w:p>
    <w:p>
      <w:pPr>
        <w:spacing w:beforeLines="0" w:line="480" w:lineRule="auto"/>
        <w:ind w:firstLine="1440" w:firstLineChars="400"/>
        <w:rPr>
          <w:rFonts w:ascii="黑体" w:hAnsi="黑体" w:eastAsia="黑体"/>
          <w:sz w:val="36"/>
          <w:szCs w:val="36"/>
        </w:rPr>
      </w:pPr>
      <w:r>
        <w:rPr>
          <w:rFonts w:hint="eastAsia" w:ascii="黑体" w:hAnsi="黑体" w:eastAsia="黑体"/>
          <w:sz w:val="36"/>
          <w:szCs w:val="36"/>
        </w:rPr>
        <w:t>参</w:t>
      </w:r>
      <w:r>
        <w:rPr>
          <w:rFonts w:ascii="黑体" w:hAnsi="黑体" w:eastAsia="黑体"/>
          <w:sz w:val="36"/>
          <w:szCs w:val="36"/>
        </w:rPr>
        <w:t xml:space="preserve">    </w:t>
      </w:r>
      <w:r>
        <w:rPr>
          <w:rFonts w:hint="eastAsia" w:ascii="黑体" w:hAnsi="黑体" w:eastAsia="黑体"/>
          <w:sz w:val="36"/>
          <w:szCs w:val="36"/>
        </w:rPr>
        <w:t>编：陈德磊 江珠 郑敏聪</w:t>
      </w:r>
    </w:p>
    <w:p>
      <w:pPr>
        <w:spacing w:beforeLines="0" w:line="480" w:lineRule="auto"/>
        <w:ind w:firstLine="1440" w:firstLineChars="400"/>
        <w:rPr>
          <w:rFonts w:ascii="黑体" w:hAnsi="黑体" w:eastAsia="黑体"/>
          <w:sz w:val="36"/>
          <w:szCs w:val="36"/>
        </w:rPr>
      </w:pPr>
      <w:r>
        <w:rPr>
          <w:rFonts w:hint="eastAsia" w:ascii="黑体" w:hAnsi="黑体" w:eastAsia="黑体"/>
          <w:sz w:val="36"/>
          <w:szCs w:val="36"/>
        </w:rPr>
        <w:t>参编企业：</w:t>
      </w:r>
      <w:r>
        <w:rPr>
          <w:rFonts w:hint="eastAsia" w:ascii="黑体" w:hAnsi="黑体" w:eastAsia="黑体"/>
          <w:w w:val="90"/>
          <w:sz w:val="36"/>
          <w:szCs w:val="36"/>
        </w:rPr>
        <w:t>一汽丰田阳江中熙</w:t>
      </w:r>
      <w:r>
        <w:rPr>
          <w:rFonts w:ascii="黑体" w:hAnsi="黑体" w:eastAsia="黑体"/>
          <w:w w:val="90"/>
          <w:sz w:val="36"/>
          <w:szCs w:val="36"/>
        </w:rPr>
        <w:t>4S</w:t>
      </w:r>
      <w:r>
        <w:rPr>
          <w:rFonts w:hint="eastAsia" w:ascii="黑体" w:hAnsi="黑体" w:eastAsia="黑体"/>
          <w:w w:val="90"/>
          <w:sz w:val="36"/>
          <w:szCs w:val="36"/>
        </w:rPr>
        <w:t>店</w:t>
      </w:r>
    </w:p>
    <w:p>
      <w:pPr>
        <w:spacing w:beforeLines="0" w:line="480" w:lineRule="auto"/>
        <w:ind w:firstLine="3240" w:firstLineChars="1000"/>
        <w:rPr>
          <w:rFonts w:ascii="黑体" w:hAnsi="黑体" w:eastAsia="黑体"/>
          <w:w w:val="90"/>
          <w:sz w:val="36"/>
          <w:szCs w:val="36"/>
        </w:rPr>
      </w:pPr>
      <w:r>
        <w:rPr>
          <w:rFonts w:hint="eastAsia" w:ascii="黑体" w:hAnsi="黑体" w:eastAsia="黑体"/>
          <w:w w:val="90"/>
          <w:sz w:val="36"/>
          <w:szCs w:val="36"/>
        </w:rPr>
        <w:t>阳江粤隆汽车销售服务有限公司</w:t>
      </w:r>
    </w:p>
    <w:p>
      <w:pPr>
        <w:spacing w:beforeLines="0" w:line="480" w:lineRule="auto"/>
        <w:ind w:firstLine="3240" w:firstLineChars="1000"/>
        <w:rPr>
          <w:rFonts w:ascii="黑体" w:hAnsi="黑体" w:eastAsia="黑体"/>
          <w:w w:val="90"/>
          <w:sz w:val="44"/>
          <w:szCs w:val="44"/>
        </w:rPr>
      </w:pPr>
      <w:r>
        <w:rPr>
          <w:rFonts w:hint="eastAsia" w:ascii="黑体" w:hAnsi="黑体" w:eastAsia="黑体"/>
          <w:w w:val="90"/>
          <w:sz w:val="36"/>
          <w:szCs w:val="36"/>
        </w:rPr>
        <w:t>阳江溢田汽车销售服务有限公司</w:t>
      </w:r>
    </w:p>
    <w:p>
      <w:pPr>
        <w:spacing w:beforeLines="0" w:line="480" w:lineRule="auto"/>
        <w:rPr>
          <w:rFonts w:ascii="黑体" w:hAnsi="黑体" w:eastAsia="黑体"/>
          <w:sz w:val="36"/>
          <w:szCs w:val="36"/>
        </w:rPr>
      </w:pPr>
    </w:p>
    <w:p>
      <w:pPr>
        <w:spacing w:beforeLines="0" w:line="480" w:lineRule="auto"/>
        <w:rPr>
          <w:rFonts w:ascii="黑体" w:hAnsi="黑体" w:eastAsia="黑体"/>
          <w:sz w:val="36"/>
          <w:szCs w:val="36"/>
        </w:rPr>
      </w:pPr>
    </w:p>
    <w:p>
      <w:pPr>
        <w:spacing w:beforeLines="0" w:line="480" w:lineRule="auto"/>
        <w:rPr>
          <w:rFonts w:ascii="黑体" w:hAnsi="黑体" w:eastAsia="黑体"/>
          <w:sz w:val="36"/>
          <w:szCs w:val="36"/>
        </w:rPr>
      </w:pPr>
    </w:p>
    <w:p>
      <w:pPr>
        <w:spacing w:beforeLines="0" w:line="480" w:lineRule="auto"/>
        <w:rPr>
          <w:rFonts w:ascii="黑体" w:hAnsi="黑体" w:eastAsia="黑体"/>
          <w:sz w:val="36"/>
          <w:szCs w:val="36"/>
        </w:rPr>
      </w:pPr>
    </w:p>
    <w:p>
      <w:pPr>
        <w:spacing w:beforeLines="0" w:line="480" w:lineRule="auto"/>
        <w:jc w:val="center"/>
        <w:rPr>
          <w:rFonts w:ascii="黑体" w:hAnsi="黑体" w:eastAsia="黑体"/>
          <w:b/>
          <w:sz w:val="44"/>
          <w:szCs w:val="44"/>
        </w:rPr>
      </w:pPr>
      <w:r>
        <w:rPr>
          <w:rFonts w:hint="eastAsia" w:ascii="黑体" w:hAnsi="黑体" w:eastAsia="黑体"/>
          <w:sz w:val="32"/>
          <w:szCs w:val="32"/>
        </w:rPr>
        <w:t>阳江市第一职业技术学校</w:t>
      </w:r>
    </w:p>
    <w:p>
      <w:pPr>
        <w:spacing w:beforeLines="0" w:line="480" w:lineRule="auto"/>
        <w:jc w:val="center"/>
        <w:rPr>
          <w:rFonts w:ascii="黑体" w:hAnsi="黑体" w:eastAsia="黑体"/>
          <w:b/>
          <w:sz w:val="36"/>
          <w:szCs w:val="36"/>
        </w:rPr>
      </w:pPr>
    </w:p>
    <w:p>
      <w:pPr>
        <w:spacing w:beforeLines="0" w:line="480" w:lineRule="auto"/>
        <w:rPr>
          <w:rFonts w:ascii="黑体" w:hAnsi="黑体" w:eastAsia="黑体"/>
          <w:b/>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docGrid w:type="lines" w:linePitch="312" w:charSpace="0"/>
        </w:sectPr>
      </w:pPr>
    </w:p>
    <w:p>
      <w:pPr>
        <w:spacing w:beforeLines="0" w:line="360" w:lineRule="auto"/>
        <w:jc w:val="center"/>
        <w:rPr>
          <w:rFonts w:ascii="黑体" w:hAnsi="黑体" w:eastAsia="黑体"/>
          <w:b/>
          <w:sz w:val="44"/>
          <w:szCs w:val="44"/>
        </w:rPr>
      </w:pPr>
      <w:r>
        <w:rPr>
          <w:rFonts w:hint="eastAsia" w:ascii="黑体" w:hAnsi="黑体" w:eastAsia="黑体"/>
          <w:b/>
          <w:sz w:val="44"/>
          <w:szCs w:val="44"/>
        </w:rPr>
        <w:t>前</w:t>
      </w:r>
      <w:r>
        <w:rPr>
          <w:rFonts w:ascii="黑体" w:hAnsi="黑体" w:eastAsia="黑体"/>
          <w:b/>
          <w:sz w:val="44"/>
          <w:szCs w:val="44"/>
        </w:rPr>
        <w:t xml:space="preserve">  </w:t>
      </w:r>
      <w:r>
        <w:rPr>
          <w:rFonts w:hint="eastAsia" w:ascii="黑体" w:hAnsi="黑体" w:eastAsia="黑体"/>
          <w:b/>
          <w:sz w:val="44"/>
          <w:szCs w:val="44"/>
        </w:rPr>
        <w:t>言</w:t>
      </w:r>
    </w:p>
    <w:p>
      <w:pPr>
        <w:spacing w:beforeLines="0" w:line="360" w:lineRule="auto"/>
        <w:jc w:val="center"/>
        <w:rPr>
          <w:rFonts w:ascii="黑体" w:hAnsi="黑体" w:eastAsia="黑体"/>
          <w:b/>
          <w:sz w:val="44"/>
          <w:szCs w:val="44"/>
        </w:rPr>
      </w:pPr>
    </w:p>
    <w:p>
      <w:pPr>
        <w:spacing w:beforeLines="0" w:line="360" w:lineRule="auto"/>
        <w:ind w:firstLine="555"/>
        <w:rPr>
          <w:rFonts w:ascii="仿宋_GB2312" w:hAnsi="黑体" w:eastAsia="仿宋_GB2312"/>
        </w:rPr>
      </w:pPr>
      <w:r>
        <w:rPr>
          <w:rFonts w:hint="eastAsia" w:ascii="仿宋_GB2312" w:hAnsi="黑体" w:eastAsia="仿宋_GB2312"/>
        </w:rPr>
        <w:t>人才培养方案是学校专业建设的核心，是学校开展专业教学的纲领性文件。课程体系建设是专业建设的重要任务。汽车运用与维修专业作为我校第三批国家示范学校建设项目中央财政支持的重点建设专业，在建设期内，我们以校企合作为主线，将人才培养模式和课程体系改革作为专业建设的核心内容，通过课程体系改革和课程建设带动师资队伍建设和人才培养工作。我们对阳江市一汽丰田阳江中熙</w:t>
      </w:r>
      <w:r>
        <w:rPr>
          <w:rFonts w:ascii="仿宋_GB2312" w:hAnsi="黑体" w:eastAsia="仿宋_GB2312"/>
        </w:rPr>
        <w:t>4S</w:t>
      </w:r>
      <w:r>
        <w:rPr>
          <w:rFonts w:hint="eastAsia" w:ascii="仿宋_GB2312" w:hAnsi="黑体" w:eastAsia="仿宋_GB2312"/>
        </w:rPr>
        <w:t>店、阳江粤隆汽车销售服务有限公司、阳江溢田汽车销售服务有限公司等十几家汽车类企业和阳江职业技术学院等职业院校进行了广泛调研，在深入分析调研结果的基础上，撰写了人才需求调研报告。召开了由行业企业生产实践经验丰富的专家参加的实践专家访谈会，提炼出典型工作任务，初步形成了本专业人才培养方案和课程体系。在此基础上，召开了由职业教育专家和苏海洋、陈学深等企业专家参加的人才培养方案论证会。借鉴国内外职业教育的先进理念，构建了“</w:t>
      </w:r>
      <w:r>
        <w:rPr>
          <w:rFonts w:ascii="仿宋_GB2312" w:hAnsi="黑体" w:eastAsia="仿宋_GB2312"/>
        </w:rPr>
        <w:t>123</w:t>
      </w:r>
      <w:r>
        <w:rPr>
          <w:rFonts w:hint="eastAsia" w:ascii="仿宋_GB2312" w:hAnsi="黑体" w:eastAsia="仿宋_GB2312"/>
        </w:rPr>
        <w:t>工学结合”人才培养模式，建立了我校汽车运用与维修专业“以典型工作任务为载体”的模块化课程体系，提出了“专业核心课+企业实习”的专业课程结构，最终制定了《汽车运用与维修专业人才培养方案》。</w:t>
      </w:r>
    </w:p>
    <w:p>
      <w:pPr>
        <w:spacing w:beforeLines="0" w:line="360" w:lineRule="auto"/>
        <w:ind w:firstLine="555"/>
        <w:rPr>
          <w:rFonts w:ascii="仿宋_GB2312" w:hAnsi="黑体" w:eastAsia="仿宋_GB2312"/>
        </w:rPr>
      </w:pPr>
      <w:r>
        <w:rPr>
          <w:rFonts w:hint="eastAsia" w:ascii="仿宋_GB2312" w:hAnsi="黑体" w:eastAsia="仿宋_GB2312"/>
        </w:rPr>
        <w:t>本专业人才培养方案的制定，充分考虑了“工作导向、任务驱动、教学做合一”的职业教育教学思想和做法，初步形成了校企合作化办学、工学结合育人、理实一体课程的办学及教育特色。学校遵从“新手”到“生手”到“熟手”到“能手”最后到“高手”的职业成长规律，并将学生的职业态度、团队合作、沟通表达、工作纪律、工作业绩等纳入课程学习的过程考核，注重学生综合职业能力的培养，使其成为高素质的技能型人才。</w:t>
      </w:r>
    </w:p>
    <w:p>
      <w:pPr>
        <w:spacing w:beforeLines="0" w:line="360" w:lineRule="auto"/>
        <w:ind w:firstLine="555"/>
        <w:rPr>
          <w:rFonts w:ascii="仿宋_GB2312" w:hAnsi="黑体" w:eastAsia="仿宋_GB2312"/>
        </w:rPr>
      </w:pPr>
      <w:r>
        <w:rPr>
          <w:rFonts w:hint="eastAsia" w:ascii="仿宋_GB2312" w:hAnsi="黑体" w:eastAsia="仿宋_GB2312"/>
        </w:rPr>
        <w:t>本书由阮威雄主编，陈德磊、江珠、郑敏聪参与了编写工作，学校杨丽萍、教学科赵奕民科长、刘武英对本书作了全面审核。</w:t>
      </w:r>
    </w:p>
    <w:p>
      <w:pPr>
        <w:spacing w:beforeLines="0" w:line="360" w:lineRule="auto"/>
        <w:ind w:firstLine="555"/>
        <w:rPr>
          <w:rFonts w:ascii="仿宋_GB2312" w:hAnsi="黑体" w:eastAsia="仿宋_GB2312"/>
        </w:rPr>
      </w:pPr>
      <w:r>
        <w:rPr>
          <w:rFonts w:hint="eastAsia" w:ascii="仿宋_GB2312" w:hAnsi="黑体" w:eastAsia="仿宋_GB2312"/>
        </w:rPr>
        <w:t>汽车运用与维修专业人才培养方案的制定也得到了阳江粤隆汽车销售服务有限公司苏海洋经理、阳江溢田汽车销售服务有限公司陈学深经理等行业企业专家和广州交通技师学校梁登、广东科学技术职业学院胡勇等职教专家的指导，在此一并致谢。</w:t>
      </w:r>
    </w:p>
    <w:p>
      <w:pPr>
        <w:spacing w:beforeLines="0" w:line="360" w:lineRule="auto"/>
        <w:ind w:firstLine="560" w:firstLineChars="200"/>
        <w:rPr>
          <w:rFonts w:ascii="仿宋_GB2312" w:hAnsi="黑体" w:eastAsia="仿宋_GB2312"/>
        </w:rPr>
      </w:pPr>
      <w:r>
        <w:rPr>
          <w:rFonts w:hint="eastAsia" w:ascii="仿宋_GB2312" w:hAnsi="黑体" w:eastAsia="仿宋_GB2312"/>
        </w:rPr>
        <w:t>由于编者水平有限，加上时间仓促，方案中难免存在诸多缺点和错漏之处，敬请各位专家、同仁批评指正，为我们后续的改革和探索提供宝贵经验。</w:t>
      </w:r>
    </w:p>
    <w:p>
      <w:pPr>
        <w:spacing w:beforeLines="0" w:line="360" w:lineRule="auto"/>
        <w:ind w:firstLine="555"/>
        <w:rPr>
          <w:rFonts w:ascii="仿宋_GB2312" w:hAnsi="黑体" w:eastAsia="仿宋_GB2312"/>
        </w:rPr>
      </w:pPr>
      <w:r>
        <w:rPr>
          <w:rFonts w:ascii="仿宋_GB2312" w:hAnsi="黑体" w:eastAsia="仿宋_GB2312"/>
        </w:rPr>
        <w:t xml:space="preserve">                                             </w:t>
      </w:r>
      <w:r>
        <w:rPr>
          <w:rFonts w:hint="eastAsia" w:ascii="仿宋_GB2312" w:hAnsi="黑体" w:eastAsia="仿宋_GB2312"/>
        </w:rPr>
        <w:t>编者</w:t>
      </w:r>
    </w:p>
    <w:p>
      <w:pPr>
        <w:spacing w:beforeLines="0" w:line="360" w:lineRule="auto"/>
        <w:ind w:firstLine="555"/>
        <w:rPr>
          <w:rFonts w:ascii="仿宋_GB2312" w:hAnsi="黑体" w:eastAsia="仿宋_GB2312"/>
        </w:rPr>
      </w:pPr>
      <w:r>
        <w:rPr>
          <w:rFonts w:ascii="仿宋_GB2312" w:hAnsi="黑体" w:eastAsia="仿宋_GB2312"/>
        </w:rPr>
        <w:t xml:space="preserve">                                          20</w:t>
      </w:r>
      <w:r>
        <w:rPr>
          <w:rFonts w:hint="eastAsia" w:ascii="仿宋_GB2312" w:hAnsi="黑体" w:eastAsia="仿宋_GB2312"/>
        </w:rPr>
        <w:t>22年8月</w:t>
      </w:r>
    </w:p>
    <w:p>
      <w:pPr>
        <w:snapToGrid w:val="0"/>
        <w:spacing w:beforeLines="0" w:line="360" w:lineRule="auto"/>
        <w:jc w:val="center"/>
        <w:rPr>
          <w:rFonts w:ascii="仿宋_GB2312" w:hAnsi="黑体" w:eastAsia="仿宋_GB2312" w:cs="仿宋_GB2312"/>
          <w:b/>
          <w:bCs/>
          <w:sz w:val="44"/>
          <w:szCs w:val="44"/>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797" w:bottom="1440" w:left="1797" w:header="851" w:footer="992" w:gutter="0"/>
          <w:pgNumType w:start="0"/>
          <w:cols w:space="425" w:num="1"/>
          <w:docGrid w:type="lines" w:linePitch="312" w:charSpace="0"/>
        </w:sectPr>
      </w:pPr>
    </w:p>
    <w:p>
      <w:pPr>
        <w:snapToGrid w:val="0"/>
        <w:spacing w:beforeLines="0" w:line="360" w:lineRule="auto"/>
        <w:jc w:val="center"/>
        <w:rPr>
          <w:rFonts w:ascii="仿宋_GB2312" w:hAnsi="黑体" w:eastAsia="仿宋_GB2312" w:cs="仿宋_GB2312"/>
          <w:b/>
          <w:bCs/>
          <w:sz w:val="44"/>
          <w:szCs w:val="44"/>
        </w:rPr>
      </w:pPr>
      <w:r>
        <w:rPr>
          <w:rFonts w:hint="eastAsia" w:ascii="仿宋_GB2312" w:hAnsi="黑体" w:eastAsia="仿宋_GB2312" w:cs="仿宋_GB2312"/>
          <w:b/>
          <w:bCs/>
          <w:sz w:val="44"/>
          <w:szCs w:val="44"/>
        </w:rPr>
        <w:t>目  录</w:t>
      </w:r>
    </w:p>
    <w:p>
      <w:pPr>
        <w:snapToGrid w:val="0"/>
        <w:spacing w:beforeLines="0" w:line="360" w:lineRule="auto"/>
        <w:jc w:val="center"/>
        <w:rPr>
          <w:rFonts w:ascii="仿宋_GB2312" w:eastAsia="仿宋_GB2312"/>
        </w:rPr>
      </w:pPr>
    </w:p>
    <w:p>
      <w:pPr>
        <w:pStyle w:val="12"/>
        <w:tabs>
          <w:tab w:val="right" w:leader="dot" w:pos="8302"/>
        </w:tabs>
        <w:snapToGrid w:val="0"/>
        <w:spacing w:beforeLines="0" w:line="360" w:lineRule="auto"/>
        <w:rPr>
          <w:rFonts w:ascii="仿宋_GB2312" w:hAnsi="Calibri" w:eastAsia="仿宋_GB2312"/>
          <w:sz w:val="21"/>
          <w:szCs w:val="22"/>
        </w:rPr>
      </w:pPr>
      <w:r>
        <w:rPr>
          <w:rFonts w:hint="eastAsia" w:ascii="仿宋_GB2312" w:eastAsia="仿宋_GB2312"/>
        </w:rPr>
        <w:fldChar w:fldCharType="begin"/>
      </w:r>
      <w:r>
        <w:rPr>
          <w:rFonts w:hint="eastAsia" w:ascii="仿宋_GB2312" w:eastAsia="仿宋_GB2312"/>
        </w:rPr>
        <w:instrText xml:space="preserve"> TOC \o "1-3" \h \z \u </w:instrText>
      </w:r>
      <w:r>
        <w:rPr>
          <w:rFonts w:hint="eastAsia" w:ascii="仿宋_GB2312" w:eastAsia="仿宋_GB2312"/>
        </w:rPr>
        <w:fldChar w:fldCharType="separate"/>
      </w:r>
      <w:r>
        <w:fldChar w:fldCharType="begin"/>
      </w:r>
      <w:r>
        <w:instrText xml:space="preserve"> HYPERLINK \l "_Toc438974515" </w:instrText>
      </w:r>
      <w:r>
        <w:fldChar w:fldCharType="separate"/>
      </w:r>
      <w:r>
        <w:rPr>
          <w:rStyle w:val="22"/>
          <w:rFonts w:hint="eastAsia" w:ascii="仿宋_GB2312" w:eastAsia="仿宋_GB2312" w:cs="仿宋_GB2312"/>
          <w:bCs/>
        </w:rPr>
        <w:t>一、专业名称（专业代码）</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_Toc438974515 \h </w:instrText>
      </w:r>
      <w:r>
        <w:rPr>
          <w:rFonts w:hint="eastAsia" w:ascii="仿宋_GB2312" w:eastAsia="仿宋_GB2312"/>
        </w:rPr>
        <w:fldChar w:fldCharType="separate"/>
      </w:r>
      <w:r>
        <w:rPr>
          <w:rFonts w:ascii="仿宋_GB2312" w:eastAsia="仿宋_GB2312"/>
        </w:rPr>
        <w:t>1</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"_Toc438974516" </w:instrText>
      </w:r>
      <w:r>
        <w:fldChar w:fldCharType="separate"/>
      </w:r>
      <w:r>
        <w:rPr>
          <w:rStyle w:val="22"/>
          <w:rFonts w:hint="eastAsia" w:ascii="仿宋_GB2312" w:eastAsia="仿宋_GB2312" w:cs="仿宋_GB2312"/>
          <w:bCs/>
        </w:rPr>
        <w:t>二、招生对象</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_Toc438974516 \h </w:instrText>
      </w:r>
      <w:r>
        <w:rPr>
          <w:rFonts w:hint="eastAsia" w:ascii="仿宋_GB2312" w:eastAsia="仿宋_GB2312"/>
        </w:rPr>
        <w:fldChar w:fldCharType="separate"/>
      </w:r>
      <w:r>
        <w:rPr>
          <w:rFonts w:ascii="仿宋_GB2312" w:eastAsia="仿宋_GB2312"/>
        </w:rPr>
        <w:t>1</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"_Toc438974517" </w:instrText>
      </w:r>
      <w:r>
        <w:fldChar w:fldCharType="separate"/>
      </w:r>
      <w:r>
        <w:rPr>
          <w:rStyle w:val="22"/>
          <w:rFonts w:hint="eastAsia" w:ascii="仿宋_GB2312" w:eastAsia="仿宋_GB2312" w:cs="仿宋_GB2312"/>
          <w:bCs/>
        </w:rPr>
        <w:t>三、学制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_Toc438974517 \h </w:instrText>
      </w:r>
      <w:r>
        <w:rPr>
          <w:rFonts w:hint="eastAsia" w:ascii="仿宋_GB2312" w:eastAsia="仿宋_GB2312"/>
        </w:rPr>
        <w:fldChar w:fldCharType="separate"/>
      </w:r>
      <w:r>
        <w:rPr>
          <w:rFonts w:ascii="仿宋_GB2312" w:eastAsia="仿宋_GB2312"/>
        </w:rPr>
        <w:t>1</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"_Toc438974518" </w:instrText>
      </w:r>
      <w:r>
        <w:fldChar w:fldCharType="separate"/>
      </w:r>
      <w:r>
        <w:rPr>
          <w:rStyle w:val="22"/>
          <w:rFonts w:hint="eastAsia" w:ascii="仿宋_GB2312" w:eastAsia="仿宋_GB2312" w:cs="仿宋_GB2312"/>
          <w:bCs/>
        </w:rPr>
        <w:t>四、培养目标</w:t>
      </w:r>
      <w:r>
        <w:rPr>
          <w:rStyle w:val="22"/>
          <w:rFonts w:hint="eastAsia" w:ascii="仿宋_GB2312" w:eastAsia="仿宋_GB2312"/>
        </w:rPr>
        <w:t>及人才培养规格</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_Toc438974518 \h </w:instrText>
      </w:r>
      <w:r>
        <w:rPr>
          <w:rFonts w:hint="eastAsia" w:ascii="仿宋_GB2312" w:eastAsia="仿宋_GB2312"/>
        </w:rPr>
        <w:fldChar w:fldCharType="separate"/>
      </w:r>
      <w:r>
        <w:rPr>
          <w:rFonts w:ascii="仿宋_GB2312" w:eastAsia="仿宋_GB2312"/>
        </w:rPr>
        <w:t>1</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"_Toc438974519" </w:instrText>
      </w:r>
      <w:r>
        <w:fldChar w:fldCharType="separate"/>
      </w:r>
      <w:r>
        <w:rPr>
          <w:rStyle w:val="22"/>
          <w:rFonts w:hint="eastAsia" w:ascii="仿宋_GB2312" w:eastAsia="仿宋_GB2312"/>
        </w:rPr>
        <w:t>（一）培养目标</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_Toc438974519 \h </w:instrText>
      </w:r>
      <w:r>
        <w:rPr>
          <w:rFonts w:hint="eastAsia" w:ascii="仿宋_GB2312" w:eastAsia="仿宋_GB2312"/>
        </w:rPr>
        <w:fldChar w:fldCharType="separate"/>
      </w:r>
      <w:r>
        <w:rPr>
          <w:rFonts w:ascii="仿宋_GB2312" w:eastAsia="仿宋_GB2312"/>
        </w:rPr>
        <w:t>1</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"_Toc438974520" </w:instrText>
      </w:r>
      <w:r>
        <w:fldChar w:fldCharType="separate"/>
      </w:r>
      <w:r>
        <w:rPr>
          <w:rStyle w:val="22"/>
          <w:rFonts w:hint="eastAsia" w:ascii="仿宋_GB2312" w:eastAsia="仿宋_GB2312"/>
        </w:rPr>
        <w:t>（二）人才培养规格</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_Toc438974520 \h </w:instrText>
      </w:r>
      <w:r>
        <w:rPr>
          <w:rFonts w:hint="eastAsia" w:ascii="仿宋_GB2312" w:eastAsia="仿宋_GB2312"/>
        </w:rPr>
        <w:fldChar w:fldCharType="separate"/>
      </w:r>
      <w:r>
        <w:rPr>
          <w:rFonts w:ascii="仿宋_GB2312" w:eastAsia="仿宋_GB2312"/>
        </w:rPr>
        <w:t>1</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"_Toc438974521" </w:instrText>
      </w:r>
      <w:r>
        <w:fldChar w:fldCharType="separate"/>
      </w:r>
      <w:r>
        <w:rPr>
          <w:rStyle w:val="22"/>
          <w:rFonts w:hint="eastAsia" w:ascii="仿宋_GB2312" w:eastAsia="仿宋_GB2312" w:cs="仿宋_GB2312"/>
          <w:bCs/>
        </w:rPr>
        <w:t>五、</w:t>
      </w:r>
      <w:r>
        <w:rPr>
          <w:rStyle w:val="22"/>
          <w:rFonts w:hint="eastAsia" w:ascii="仿宋_GB2312" w:eastAsia="仿宋_GB2312"/>
        </w:rPr>
        <w:t>职业岗位分析与职业资格证书</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_Toc438974521 \h </w:instrText>
      </w:r>
      <w:r>
        <w:rPr>
          <w:rFonts w:hint="eastAsia" w:ascii="仿宋_GB2312" w:eastAsia="仿宋_GB2312"/>
        </w:rPr>
        <w:fldChar w:fldCharType="separate"/>
      </w:r>
      <w:r>
        <w:rPr>
          <w:rFonts w:ascii="仿宋_GB2312" w:eastAsia="仿宋_GB2312"/>
        </w:rPr>
        <w:t>3</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"_Toc438974522" </w:instrText>
      </w:r>
      <w:r>
        <w:fldChar w:fldCharType="separate"/>
      </w:r>
      <w:r>
        <w:rPr>
          <w:rStyle w:val="22"/>
          <w:rFonts w:hint="eastAsia" w:ascii="仿宋_GB2312" w:eastAsia="仿宋_GB2312" w:cs="仿宋_GB2312"/>
          <w:bCs/>
        </w:rPr>
        <w:t>六、主要接续专业</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_Toc438974522 \h </w:instrText>
      </w:r>
      <w:r>
        <w:rPr>
          <w:rFonts w:hint="eastAsia" w:ascii="仿宋_GB2312" w:eastAsia="仿宋_GB2312"/>
        </w:rPr>
        <w:fldChar w:fldCharType="separate"/>
      </w:r>
      <w:r>
        <w:rPr>
          <w:rFonts w:ascii="仿宋_GB2312" w:eastAsia="仿宋_GB2312"/>
        </w:rPr>
        <w:t>3</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"_Toc438974523" </w:instrText>
      </w:r>
      <w:r>
        <w:fldChar w:fldCharType="separate"/>
      </w:r>
      <w:r>
        <w:rPr>
          <w:rStyle w:val="22"/>
          <w:rFonts w:hint="eastAsia" w:ascii="仿宋_GB2312" w:eastAsia="仿宋_GB2312" w:cs="仿宋_GB2312"/>
          <w:bCs/>
        </w:rPr>
        <w:t>七、</w:t>
      </w:r>
      <w:r>
        <w:rPr>
          <w:rStyle w:val="22"/>
          <w:rFonts w:hint="eastAsia" w:ascii="仿宋_GB2312" w:eastAsia="仿宋_GB2312"/>
        </w:rPr>
        <w:t>教学分析与课程体系</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_Toc438974523 \h </w:instrText>
      </w:r>
      <w:r>
        <w:rPr>
          <w:rFonts w:hint="eastAsia" w:ascii="仿宋_GB2312" w:eastAsia="仿宋_GB2312"/>
        </w:rPr>
        <w:fldChar w:fldCharType="separate"/>
      </w:r>
      <w:r>
        <w:rPr>
          <w:rFonts w:ascii="仿宋_GB2312" w:eastAsia="仿宋_GB2312"/>
        </w:rPr>
        <w:t>3</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"_Toc438974524" </w:instrText>
      </w:r>
      <w:r>
        <w:fldChar w:fldCharType="separate"/>
      </w:r>
      <w:r>
        <w:rPr>
          <w:rStyle w:val="22"/>
          <w:rFonts w:hint="eastAsia" w:ascii="仿宋_GB2312" w:eastAsia="仿宋_GB2312" w:cs="仿宋_GB2312"/>
          <w:bCs/>
        </w:rPr>
        <w:t>（一）教学分析</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_Toc438974524 \h </w:instrText>
      </w:r>
      <w:r>
        <w:rPr>
          <w:rFonts w:hint="eastAsia" w:ascii="仿宋_GB2312" w:eastAsia="仿宋_GB2312"/>
        </w:rPr>
        <w:fldChar w:fldCharType="separate"/>
      </w:r>
      <w:r>
        <w:rPr>
          <w:rFonts w:ascii="仿宋_GB2312" w:eastAsia="仿宋_GB2312"/>
        </w:rPr>
        <w:t>3</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"_Toc438974525" </w:instrText>
      </w:r>
      <w:r>
        <w:fldChar w:fldCharType="separate"/>
      </w:r>
      <w:r>
        <w:rPr>
          <w:rStyle w:val="22"/>
          <w:rFonts w:hint="eastAsia" w:ascii="仿宋_GB2312" w:eastAsia="仿宋_GB2312"/>
        </w:rPr>
        <w:t>（二）课程体系结构</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_Toc438974525 \h </w:instrText>
      </w:r>
      <w:r>
        <w:rPr>
          <w:rFonts w:hint="eastAsia" w:ascii="仿宋_GB2312" w:eastAsia="仿宋_GB2312"/>
        </w:rPr>
        <w:fldChar w:fldCharType="separate"/>
      </w:r>
      <w:r>
        <w:rPr>
          <w:rFonts w:ascii="仿宋_GB2312" w:eastAsia="仿宋_GB2312"/>
        </w:rPr>
        <w:t>4</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"_Toc438974526" </w:instrText>
      </w:r>
      <w:r>
        <w:fldChar w:fldCharType="separate"/>
      </w:r>
      <w:r>
        <w:rPr>
          <w:rStyle w:val="22"/>
          <w:rFonts w:hint="eastAsia" w:ascii="仿宋_GB2312" w:eastAsia="仿宋_GB2312" w:cs="仿宋_GB2312"/>
          <w:bCs/>
        </w:rPr>
        <w:t>八、人才培养模式</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_Toc438974526 \h </w:instrText>
      </w:r>
      <w:r>
        <w:rPr>
          <w:rFonts w:hint="eastAsia" w:ascii="仿宋_GB2312" w:eastAsia="仿宋_GB2312"/>
        </w:rPr>
        <w:fldChar w:fldCharType="separate"/>
      </w:r>
      <w:r>
        <w:rPr>
          <w:rFonts w:ascii="仿宋_GB2312" w:eastAsia="仿宋_GB2312"/>
        </w:rPr>
        <w:t>5</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"_Toc438974527" </w:instrText>
      </w:r>
      <w:r>
        <w:fldChar w:fldCharType="separate"/>
      </w:r>
      <w:r>
        <w:rPr>
          <w:rStyle w:val="22"/>
          <w:rFonts w:hint="eastAsia" w:ascii="仿宋_GB2312" w:eastAsia="仿宋_GB2312" w:cs="仿宋_GB2312"/>
          <w:bCs/>
        </w:rPr>
        <w:t>九、课程设置及要求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_Toc438974527 \h </w:instrText>
      </w:r>
      <w:r>
        <w:rPr>
          <w:rFonts w:hint="eastAsia" w:ascii="仿宋_GB2312" w:eastAsia="仿宋_GB2312"/>
        </w:rPr>
        <w:fldChar w:fldCharType="separate"/>
      </w:r>
      <w:r>
        <w:rPr>
          <w:rFonts w:ascii="仿宋_GB2312" w:eastAsia="仿宋_GB2312"/>
        </w:rPr>
        <w:t>6</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"_Toc438974528" </w:instrText>
      </w:r>
      <w:r>
        <w:fldChar w:fldCharType="separate"/>
      </w:r>
      <w:r>
        <w:rPr>
          <w:rStyle w:val="22"/>
          <w:rFonts w:hint="eastAsia" w:ascii="仿宋_GB2312" w:eastAsia="仿宋_GB2312" w:cs="仿宋_GB2312"/>
          <w:bCs/>
        </w:rPr>
        <w:t>（一）公共基础课</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_Toc438974528 \h </w:instrText>
      </w:r>
      <w:r>
        <w:rPr>
          <w:rFonts w:hint="eastAsia" w:ascii="仿宋_GB2312" w:eastAsia="仿宋_GB2312"/>
        </w:rPr>
        <w:fldChar w:fldCharType="separate"/>
      </w:r>
      <w:r>
        <w:rPr>
          <w:rFonts w:ascii="仿宋_GB2312" w:eastAsia="仿宋_GB2312"/>
        </w:rPr>
        <w:t>6</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"_Toc438974529" </w:instrText>
      </w:r>
      <w:r>
        <w:fldChar w:fldCharType="separate"/>
      </w:r>
      <w:r>
        <w:rPr>
          <w:rStyle w:val="22"/>
          <w:rFonts w:hint="eastAsia" w:ascii="仿宋_GB2312" w:eastAsia="仿宋_GB2312" w:cs="仿宋_GB2312"/>
          <w:bCs/>
        </w:rPr>
        <w:t>（二）专业技能课</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_Toc438974529 \h </w:instrText>
      </w:r>
      <w:r>
        <w:rPr>
          <w:rFonts w:hint="eastAsia" w:ascii="仿宋_GB2312" w:eastAsia="仿宋_GB2312"/>
        </w:rPr>
        <w:fldChar w:fldCharType="separate"/>
      </w:r>
      <w:r>
        <w:rPr>
          <w:rFonts w:ascii="仿宋_GB2312" w:eastAsia="仿宋_GB2312"/>
        </w:rPr>
        <w:t>6</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"_Toc438974530" </w:instrText>
      </w:r>
      <w:r>
        <w:fldChar w:fldCharType="separate"/>
      </w:r>
      <w:r>
        <w:rPr>
          <w:rStyle w:val="22"/>
          <w:rFonts w:hint="eastAsia" w:ascii="仿宋_GB2312" w:eastAsia="仿宋_GB2312"/>
        </w:rPr>
        <w:t>十、教学安排与教学进程表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_Toc438974530 \h </w:instrText>
      </w:r>
      <w:r>
        <w:rPr>
          <w:rFonts w:hint="eastAsia" w:ascii="仿宋_GB2312" w:eastAsia="仿宋_GB2312"/>
        </w:rPr>
        <w:fldChar w:fldCharType="separate"/>
      </w:r>
      <w:r>
        <w:rPr>
          <w:rFonts w:ascii="仿宋_GB2312" w:eastAsia="仿宋_GB2312"/>
        </w:rPr>
        <w:t>9</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"_Toc438974531" </w:instrText>
      </w:r>
      <w:r>
        <w:fldChar w:fldCharType="separate"/>
      </w:r>
      <w:r>
        <w:rPr>
          <w:rStyle w:val="22"/>
          <w:rFonts w:hint="eastAsia" w:ascii="仿宋_GB2312" w:eastAsia="仿宋_GB2312"/>
        </w:rPr>
        <w:t>（一）基本要求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_Toc438974531 \h </w:instrText>
      </w:r>
      <w:r>
        <w:rPr>
          <w:rFonts w:hint="eastAsia" w:ascii="仿宋_GB2312" w:eastAsia="仿宋_GB2312"/>
        </w:rPr>
        <w:fldChar w:fldCharType="separate"/>
      </w:r>
      <w:r>
        <w:rPr>
          <w:rFonts w:ascii="仿宋_GB2312" w:eastAsia="仿宋_GB2312"/>
        </w:rPr>
        <w:t>9</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"_Toc438974532" </w:instrText>
      </w:r>
      <w:r>
        <w:fldChar w:fldCharType="separate"/>
      </w:r>
      <w:r>
        <w:rPr>
          <w:rStyle w:val="22"/>
          <w:rFonts w:hint="eastAsia" w:ascii="仿宋_GB2312" w:eastAsia="仿宋_GB2312"/>
        </w:rPr>
        <w:t>（二）教学进程表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_Toc438974532 \h </w:instrText>
      </w:r>
      <w:r>
        <w:rPr>
          <w:rFonts w:hint="eastAsia" w:ascii="仿宋_GB2312" w:eastAsia="仿宋_GB2312"/>
        </w:rPr>
        <w:fldChar w:fldCharType="separate"/>
      </w:r>
      <w:r>
        <w:rPr>
          <w:rFonts w:ascii="仿宋_GB2312" w:eastAsia="仿宋_GB2312"/>
        </w:rPr>
        <w:t>10</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"_Toc438974533" </w:instrText>
      </w:r>
      <w:r>
        <w:fldChar w:fldCharType="separate"/>
      </w:r>
      <w:r>
        <w:rPr>
          <w:rStyle w:val="22"/>
          <w:rFonts w:hint="eastAsia" w:ascii="仿宋_GB2312" w:eastAsia="仿宋_GB2312"/>
        </w:rPr>
        <w:t>十一、教学方法与考核评价</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_Toc438974533 \h </w:instrText>
      </w:r>
      <w:r>
        <w:rPr>
          <w:rFonts w:hint="eastAsia" w:ascii="仿宋_GB2312" w:eastAsia="仿宋_GB2312"/>
        </w:rPr>
        <w:fldChar w:fldCharType="separate"/>
      </w:r>
      <w:r>
        <w:rPr>
          <w:rFonts w:ascii="仿宋_GB2312" w:eastAsia="仿宋_GB2312"/>
        </w:rPr>
        <w:t>11</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"_Toc438974534" </w:instrText>
      </w:r>
      <w:r>
        <w:fldChar w:fldCharType="separate"/>
      </w:r>
      <w:r>
        <w:rPr>
          <w:rStyle w:val="22"/>
          <w:rFonts w:hint="eastAsia" w:ascii="仿宋_GB2312" w:eastAsia="仿宋_GB2312"/>
        </w:rPr>
        <w:t>（一）教学方法</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_Toc438974534 \h </w:instrText>
      </w:r>
      <w:r>
        <w:rPr>
          <w:rFonts w:hint="eastAsia" w:ascii="仿宋_GB2312" w:eastAsia="仿宋_GB2312"/>
        </w:rPr>
        <w:fldChar w:fldCharType="separate"/>
      </w:r>
      <w:r>
        <w:rPr>
          <w:rFonts w:ascii="仿宋_GB2312" w:eastAsia="仿宋_GB2312"/>
        </w:rPr>
        <w:t>11</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"_Toc438974535" </w:instrText>
      </w:r>
      <w:r>
        <w:fldChar w:fldCharType="separate"/>
      </w:r>
      <w:r>
        <w:rPr>
          <w:rStyle w:val="22"/>
          <w:rFonts w:hint="eastAsia" w:ascii="仿宋_GB2312" w:eastAsia="仿宋_GB2312" w:cs="仿宋_GB2312"/>
          <w:bCs/>
        </w:rPr>
        <w:t>（二）考核评价</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_Toc438974535 \h </w:instrText>
      </w:r>
      <w:r>
        <w:rPr>
          <w:rFonts w:hint="eastAsia" w:ascii="仿宋_GB2312" w:eastAsia="仿宋_GB2312"/>
        </w:rPr>
        <w:fldChar w:fldCharType="separate"/>
      </w:r>
      <w:r>
        <w:rPr>
          <w:rFonts w:ascii="仿宋_GB2312" w:eastAsia="仿宋_GB2312"/>
        </w:rPr>
        <w:t>12</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"_Toc438974536" </w:instrText>
      </w:r>
      <w:r>
        <w:fldChar w:fldCharType="separate"/>
      </w:r>
      <w:r>
        <w:rPr>
          <w:rStyle w:val="22"/>
          <w:rFonts w:hint="eastAsia" w:ascii="仿宋_GB2312" w:eastAsia="仿宋_GB2312" w:cs="仿宋_GB2312"/>
          <w:bCs/>
        </w:rPr>
        <w:t>（二）顶岗实习课程的考核评价</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_Toc438974536 \h </w:instrText>
      </w:r>
      <w:r>
        <w:rPr>
          <w:rFonts w:hint="eastAsia" w:ascii="仿宋_GB2312" w:eastAsia="仿宋_GB2312"/>
        </w:rPr>
        <w:fldChar w:fldCharType="separate"/>
      </w:r>
      <w:r>
        <w:rPr>
          <w:rFonts w:ascii="仿宋_GB2312" w:eastAsia="仿宋_GB2312"/>
        </w:rPr>
        <w:t>13</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"_Toc438974537" </w:instrText>
      </w:r>
      <w:r>
        <w:fldChar w:fldCharType="separate"/>
      </w:r>
      <w:r>
        <w:rPr>
          <w:rStyle w:val="22"/>
          <w:rFonts w:hint="eastAsia" w:ascii="仿宋_GB2312" w:eastAsia="仿宋_GB2312"/>
        </w:rPr>
        <w:t>十二、实施保障</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_Toc438974537 \h </w:instrText>
      </w:r>
      <w:r>
        <w:rPr>
          <w:rFonts w:hint="eastAsia" w:ascii="仿宋_GB2312" w:eastAsia="仿宋_GB2312"/>
        </w:rPr>
        <w:fldChar w:fldCharType="separate"/>
      </w:r>
      <w:r>
        <w:rPr>
          <w:rFonts w:ascii="仿宋_GB2312" w:eastAsia="仿宋_GB2312"/>
        </w:rPr>
        <w:t>13</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"_Toc438974538" </w:instrText>
      </w:r>
      <w:r>
        <w:fldChar w:fldCharType="separate"/>
      </w:r>
      <w:r>
        <w:rPr>
          <w:rStyle w:val="22"/>
          <w:rFonts w:hint="eastAsia" w:ascii="仿宋_GB2312" w:eastAsia="仿宋_GB2312" w:cs="仿宋_GB2312"/>
          <w:bCs/>
        </w:rPr>
        <w:t>（一）校内实训室</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_Toc438974538 \h </w:instrText>
      </w:r>
      <w:r>
        <w:rPr>
          <w:rFonts w:hint="eastAsia" w:ascii="仿宋_GB2312" w:eastAsia="仿宋_GB2312"/>
        </w:rPr>
        <w:fldChar w:fldCharType="separate"/>
      </w:r>
      <w:r>
        <w:rPr>
          <w:rFonts w:ascii="仿宋_GB2312" w:eastAsia="仿宋_GB2312"/>
        </w:rPr>
        <w:t>13</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"_Toc438974539" </w:instrText>
      </w:r>
      <w:r>
        <w:fldChar w:fldCharType="separate"/>
      </w:r>
      <w:r>
        <w:rPr>
          <w:rStyle w:val="22"/>
          <w:rFonts w:hint="eastAsia" w:ascii="仿宋_GB2312" w:eastAsia="仿宋_GB2312" w:cs="仿宋_GB2312"/>
          <w:bCs/>
        </w:rPr>
        <w:t>（二）校外实习基地</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_Toc438974539 \h </w:instrText>
      </w:r>
      <w:r>
        <w:rPr>
          <w:rFonts w:hint="eastAsia" w:ascii="仿宋_GB2312" w:eastAsia="仿宋_GB2312"/>
        </w:rPr>
        <w:fldChar w:fldCharType="separate"/>
      </w:r>
      <w:r>
        <w:rPr>
          <w:rFonts w:ascii="仿宋_GB2312" w:eastAsia="仿宋_GB2312"/>
        </w:rPr>
        <w:t>18</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"_Toc438974540" </w:instrText>
      </w:r>
      <w:r>
        <w:fldChar w:fldCharType="separate"/>
      </w:r>
      <w:r>
        <w:rPr>
          <w:rStyle w:val="22"/>
          <w:rFonts w:hint="eastAsia" w:ascii="仿宋_GB2312" w:eastAsia="仿宋_GB2312"/>
        </w:rPr>
        <w:t>（三）专业师资</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_Toc438974540 \h </w:instrText>
      </w:r>
      <w:r>
        <w:rPr>
          <w:rFonts w:hint="eastAsia" w:ascii="仿宋_GB2312" w:eastAsia="仿宋_GB2312"/>
        </w:rPr>
        <w:fldChar w:fldCharType="separate"/>
      </w:r>
      <w:r>
        <w:rPr>
          <w:rFonts w:ascii="仿宋_GB2312" w:eastAsia="仿宋_GB2312"/>
        </w:rPr>
        <w:t>19</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"_Toc438974541" </w:instrText>
      </w:r>
      <w:r>
        <w:fldChar w:fldCharType="separate"/>
      </w:r>
      <w:r>
        <w:rPr>
          <w:rStyle w:val="22"/>
          <w:rFonts w:hint="eastAsia" w:ascii="仿宋_GB2312" w:eastAsia="仿宋_GB2312" w:cs="仿宋_GB2312"/>
          <w:bCs/>
        </w:rPr>
        <w:t>十三、</w:t>
      </w:r>
      <w:r>
        <w:rPr>
          <w:rStyle w:val="22"/>
          <w:rFonts w:hint="eastAsia" w:ascii="仿宋_GB2312" w:hAnsi="仿宋" w:eastAsia="仿宋_GB2312" w:cs="仿宋_GB2312"/>
          <w:bCs/>
        </w:rPr>
        <w:t>教学资源开发</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_Toc438974541 \h </w:instrText>
      </w:r>
      <w:r>
        <w:rPr>
          <w:rFonts w:hint="eastAsia" w:ascii="仿宋_GB2312" w:eastAsia="仿宋_GB2312"/>
        </w:rPr>
        <w:fldChar w:fldCharType="separate"/>
      </w:r>
      <w:r>
        <w:rPr>
          <w:rFonts w:ascii="仿宋_GB2312" w:eastAsia="仿宋_GB2312"/>
        </w:rPr>
        <w:t>19</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p>
    <w:p>
      <w:pPr>
        <w:snapToGrid w:val="0"/>
        <w:spacing w:beforeLines="0" w:line="360" w:lineRule="auto"/>
        <w:rPr>
          <w:rFonts w:ascii="仿宋_GB2312" w:eastAsia="仿宋_GB2312"/>
        </w:rPr>
        <w:sectPr>
          <w:pgSz w:w="11906" w:h="16838"/>
          <w:pgMar w:top="1440" w:right="1797" w:bottom="1440" w:left="1797" w:header="851" w:footer="992" w:gutter="0"/>
          <w:pgNumType w:start="0"/>
          <w:cols w:space="425" w:num="1"/>
          <w:docGrid w:type="lines" w:linePitch="312" w:charSpace="0"/>
        </w:sectPr>
      </w:pPr>
      <w:r>
        <w:rPr>
          <w:rFonts w:hint="eastAsia" w:ascii="仿宋_GB2312" w:eastAsia="仿宋_GB2312"/>
        </w:rPr>
        <w:fldChar w:fldCharType="end"/>
      </w:r>
    </w:p>
    <w:p>
      <w:pPr>
        <w:snapToGrid w:val="0"/>
        <w:spacing w:beforeLines="0" w:line="360" w:lineRule="auto"/>
        <w:jc w:val="center"/>
        <w:rPr>
          <w:rFonts w:ascii="仿宋_GB2312" w:hAnsi="黑体" w:eastAsia="仿宋_GB2312" w:cs="仿宋_GB2312"/>
          <w:b/>
          <w:bCs/>
          <w:sz w:val="44"/>
          <w:szCs w:val="44"/>
        </w:rPr>
      </w:pPr>
      <w:r>
        <w:rPr>
          <w:rFonts w:hint="eastAsia" w:ascii="仿宋_GB2312" w:hAnsi="黑体" w:eastAsia="仿宋_GB2312" w:cs="仿宋_GB2312"/>
          <w:b/>
          <w:bCs/>
          <w:sz w:val="44"/>
          <w:szCs w:val="44"/>
        </w:rPr>
        <w:t>汽车运用与维修专业人才培养方案</w:t>
      </w:r>
    </w:p>
    <w:p>
      <w:pPr>
        <w:snapToGrid w:val="0"/>
        <w:spacing w:beforeLines="0" w:line="360" w:lineRule="auto"/>
        <w:ind w:firstLine="643" w:firstLineChars="200"/>
        <w:jc w:val="center"/>
        <w:rPr>
          <w:rFonts w:ascii="仿宋_GB2312" w:hAnsi="黑体" w:eastAsia="仿宋_GB2312"/>
          <w:b/>
          <w:bCs/>
          <w:sz w:val="32"/>
          <w:szCs w:val="32"/>
        </w:rPr>
      </w:pPr>
    </w:p>
    <w:p>
      <w:pPr>
        <w:pStyle w:val="45"/>
        <w:snapToGrid w:val="0"/>
        <w:spacing w:line="360" w:lineRule="auto"/>
        <w:ind w:firstLine="643"/>
        <w:outlineLvl w:val="0"/>
        <w:rPr>
          <w:rFonts w:ascii="仿宋_GB2312" w:eastAsia="仿宋_GB2312"/>
          <w:b/>
          <w:bCs/>
          <w:sz w:val="32"/>
          <w:szCs w:val="32"/>
        </w:rPr>
      </w:pPr>
      <w:bookmarkStart w:id="0" w:name="_Toc421211142"/>
      <w:bookmarkStart w:id="1" w:name="_Toc437332753"/>
      <w:bookmarkStart w:id="2" w:name="_Toc438974515"/>
      <w:bookmarkStart w:id="3" w:name="_Toc423458244"/>
      <w:bookmarkStart w:id="4" w:name="_Toc7660"/>
      <w:r>
        <w:rPr>
          <w:rFonts w:hint="eastAsia" w:ascii="仿宋_GB2312" w:eastAsia="仿宋_GB2312" w:cs="仿宋_GB2312"/>
          <w:b/>
          <w:bCs/>
          <w:sz w:val="32"/>
          <w:szCs w:val="32"/>
        </w:rPr>
        <w:t>一、专业名称（专业代码）</w:t>
      </w:r>
      <w:bookmarkEnd w:id="0"/>
      <w:bookmarkEnd w:id="1"/>
      <w:bookmarkEnd w:id="2"/>
      <w:bookmarkEnd w:id="3"/>
    </w:p>
    <w:p>
      <w:pPr>
        <w:snapToGrid w:val="0"/>
        <w:spacing w:beforeLines="0" w:line="360" w:lineRule="auto"/>
        <w:ind w:firstLine="560" w:firstLineChars="200"/>
        <w:rPr>
          <w:rFonts w:ascii="仿宋_GB2312" w:hAnsi="仿宋" w:eastAsia="仿宋_GB2312"/>
        </w:rPr>
      </w:pPr>
      <w:r>
        <w:rPr>
          <w:rFonts w:hint="eastAsia" w:ascii="仿宋_GB2312" w:hAnsi="仿宋" w:eastAsia="仿宋_GB2312" w:cs="仿宋_GB2312"/>
        </w:rPr>
        <w:t>汽车运用与维修（</w:t>
      </w:r>
      <w:r>
        <w:rPr>
          <w:rFonts w:ascii="仿宋_GB2312" w:hAnsi="仿宋" w:eastAsia="仿宋_GB2312" w:cs="仿宋_GB2312"/>
        </w:rPr>
        <w:t>700206</w:t>
      </w:r>
      <w:r>
        <w:rPr>
          <w:rFonts w:hint="eastAsia" w:ascii="仿宋_GB2312" w:hAnsi="仿宋" w:eastAsia="仿宋_GB2312" w:cs="仿宋_GB2312"/>
        </w:rPr>
        <w:t>）</w:t>
      </w:r>
    </w:p>
    <w:p>
      <w:pPr>
        <w:pStyle w:val="45"/>
        <w:snapToGrid w:val="0"/>
        <w:spacing w:line="360" w:lineRule="auto"/>
        <w:ind w:firstLine="643"/>
        <w:outlineLvl w:val="0"/>
        <w:rPr>
          <w:rFonts w:ascii="仿宋_GB2312" w:eastAsia="仿宋_GB2312"/>
          <w:b/>
          <w:bCs/>
          <w:sz w:val="32"/>
          <w:szCs w:val="32"/>
        </w:rPr>
      </w:pPr>
      <w:bookmarkStart w:id="5" w:name="_Toc423458245"/>
      <w:bookmarkStart w:id="6" w:name="_Toc421211143"/>
      <w:bookmarkStart w:id="7" w:name="_Toc437332754"/>
      <w:bookmarkStart w:id="8" w:name="_Toc438974516"/>
      <w:r>
        <w:rPr>
          <w:rFonts w:hint="eastAsia" w:ascii="仿宋_GB2312" w:eastAsia="仿宋_GB2312" w:cs="仿宋_GB2312"/>
          <w:b/>
          <w:bCs/>
          <w:sz w:val="32"/>
          <w:szCs w:val="32"/>
        </w:rPr>
        <w:t>二、</w:t>
      </w:r>
      <w:bookmarkEnd w:id="5"/>
      <w:bookmarkEnd w:id="6"/>
      <w:bookmarkEnd w:id="7"/>
      <w:r>
        <w:rPr>
          <w:rFonts w:hint="eastAsia" w:ascii="仿宋_GB2312" w:eastAsia="仿宋_GB2312" w:cs="仿宋_GB2312"/>
          <w:b/>
          <w:bCs/>
          <w:sz w:val="32"/>
          <w:szCs w:val="32"/>
        </w:rPr>
        <w:t>招生对象</w:t>
      </w:r>
      <w:bookmarkEnd w:id="8"/>
    </w:p>
    <w:p>
      <w:pPr>
        <w:snapToGrid w:val="0"/>
        <w:spacing w:beforeLines="0" w:line="360" w:lineRule="auto"/>
        <w:ind w:firstLine="560" w:firstLineChars="200"/>
        <w:jc w:val="left"/>
        <w:rPr>
          <w:rFonts w:ascii="仿宋_GB2312" w:hAnsi="仿宋" w:eastAsia="仿宋_GB2312"/>
        </w:rPr>
      </w:pPr>
      <w:r>
        <w:rPr>
          <w:rFonts w:hint="eastAsia" w:ascii="仿宋_GB2312" w:hAnsi="仿宋" w:eastAsia="仿宋_GB2312" w:cs="仿宋_GB2312"/>
        </w:rPr>
        <w:t>初中毕业生或具有同等学历</w:t>
      </w:r>
    </w:p>
    <w:p>
      <w:pPr>
        <w:pStyle w:val="45"/>
        <w:snapToGrid w:val="0"/>
        <w:spacing w:line="360" w:lineRule="auto"/>
        <w:ind w:firstLine="643"/>
        <w:outlineLvl w:val="0"/>
        <w:rPr>
          <w:rFonts w:ascii="仿宋_GB2312" w:eastAsia="仿宋_GB2312"/>
          <w:b/>
          <w:bCs/>
          <w:sz w:val="32"/>
          <w:szCs w:val="32"/>
        </w:rPr>
      </w:pPr>
      <w:bookmarkStart w:id="9" w:name="_Toc437332755"/>
      <w:bookmarkStart w:id="10" w:name="_Toc423458246"/>
      <w:bookmarkStart w:id="11" w:name="_Toc438974517"/>
      <w:bookmarkStart w:id="12" w:name="_Toc421211144"/>
      <w:r>
        <w:rPr>
          <w:rFonts w:hint="eastAsia" w:ascii="仿宋_GB2312" w:eastAsia="仿宋_GB2312" w:cs="仿宋_GB2312"/>
          <w:b/>
          <w:bCs/>
          <w:sz w:val="32"/>
          <w:szCs w:val="32"/>
        </w:rPr>
        <w:t>三、学制</w:t>
      </w:r>
      <w:bookmarkEnd w:id="9"/>
      <w:bookmarkEnd w:id="10"/>
      <w:bookmarkEnd w:id="11"/>
      <w:bookmarkEnd w:id="12"/>
    </w:p>
    <w:p>
      <w:pPr>
        <w:snapToGrid w:val="0"/>
        <w:spacing w:beforeLines="0" w:line="360" w:lineRule="auto"/>
        <w:ind w:firstLine="560" w:firstLineChars="200"/>
        <w:jc w:val="left"/>
        <w:rPr>
          <w:rFonts w:ascii="仿宋_GB2312" w:hAnsi="仿宋" w:eastAsia="仿宋_GB2312"/>
        </w:rPr>
      </w:pPr>
      <w:r>
        <w:rPr>
          <w:rFonts w:hint="eastAsia" w:ascii="仿宋_GB2312" w:hAnsi="仿宋" w:eastAsia="仿宋_GB2312" w:cs="仿宋_GB2312"/>
        </w:rPr>
        <w:t>3年</w:t>
      </w:r>
    </w:p>
    <w:p>
      <w:pPr>
        <w:pStyle w:val="45"/>
        <w:snapToGrid w:val="0"/>
        <w:spacing w:line="360" w:lineRule="auto"/>
        <w:ind w:firstLine="643"/>
        <w:outlineLvl w:val="0"/>
        <w:rPr>
          <w:rFonts w:ascii="仿宋_GB2312" w:eastAsia="仿宋_GB2312"/>
          <w:b/>
          <w:sz w:val="32"/>
          <w:szCs w:val="32"/>
        </w:rPr>
      </w:pPr>
      <w:bookmarkStart w:id="13" w:name="_Toc437332756"/>
      <w:bookmarkStart w:id="14" w:name="_Toc421211145"/>
      <w:bookmarkStart w:id="15" w:name="_Toc423458247"/>
      <w:bookmarkStart w:id="16" w:name="_Toc438974518"/>
      <w:r>
        <w:rPr>
          <w:rFonts w:hint="eastAsia" w:ascii="仿宋_GB2312" w:eastAsia="仿宋_GB2312" w:cs="仿宋_GB2312"/>
          <w:b/>
          <w:bCs/>
          <w:sz w:val="32"/>
          <w:szCs w:val="32"/>
        </w:rPr>
        <w:t>四、培养目标</w:t>
      </w:r>
      <w:bookmarkEnd w:id="13"/>
      <w:bookmarkEnd w:id="14"/>
      <w:bookmarkEnd w:id="15"/>
      <w:r>
        <w:rPr>
          <w:rFonts w:hint="eastAsia" w:ascii="仿宋_GB2312" w:eastAsia="仿宋_GB2312"/>
          <w:b/>
          <w:sz w:val="32"/>
          <w:szCs w:val="32"/>
        </w:rPr>
        <w:t>及人才培养规格</w:t>
      </w:r>
      <w:bookmarkEnd w:id="16"/>
    </w:p>
    <w:p>
      <w:pPr>
        <w:pStyle w:val="45"/>
        <w:snapToGrid w:val="0"/>
        <w:spacing w:line="360" w:lineRule="auto"/>
        <w:ind w:firstLine="602"/>
        <w:outlineLvl w:val="1"/>
        <w:rPr>
          <w:rFonts w:ascii="仿宋_GB2312" w:eastAsia="仿宋_GB2312"/>
          <w:b/>
          <w:sz w:val="30"/>
          <w:szCs w:val="30"/>
        </w:rPr>
      </w:pPr>
      <w:bookmarkStart w:id="17" w:name="_Toc438974519"/>
      <w:bookmarkStart w:id="18" w:name="_Toc438969727"/>
      <w:r>
        <w:rPr>
          <w:rFonts w:hint="eastAsia" w:ascii="仿宋_GB2312" w:eastAsia="仿宋_GB2312"/>
          <w:b/>
          <w:sz w:val="30"/>
          <w:szCs w:val="30"/>
        </w:rPr>
        <w:t>（一）培养目标</w:t>
      </w:r>
      <w:bookmarkEnd w:id="17"/>
      <w:bookmarkEnd w:id="18"/>
    </w:p>
    <w:p>
      <w:pPr>
        <w:snapToGrid w:val="0"/>
        <w:spacing w:beforeLines="0" w:line="360" w:lineRule="auto"/>
        <w:ind w:firstLine="560" w:firstLineChars="200"/>
        <w:jc w:val="left"/>
        <w:rPr>
          <w:rFonts w:ascii="仿宋_GB2312" w:hAnsi="仿宋" w:eastAsia="仿宋_GB2312" w:cs="仿宋_GB2312"/>
        </w:rPr>
      </w:pPr>
      <w:bookmarkStart w:id="19" w:name="_Toc421211146"/>
      <w:bookmarkStart w:id="20" w:name="_Toc423458248"/>
      <w:r>
        <w:rPr>
          <w:rFonts w:hint="eastAsia" w:ascii="仿宋_GB2312" w:hAnsi="仿宋" w:eastAsia="仿宋_GB2312" w:cs="仿宋_GB2312"/>
        </w:rPr>
        <w:t>本专业培养与我国社会主义现代化建设要求相适应，德、智、体、美全面发展，具有良好的职业道德和职业素养，掌握汽车运用与维修专业对应职业岗位必备的知识与技能，能够从事汽车机修、汽车电器维修、汽车维修业务接待及汽车营销工作，</w:t>
      </w:r>
      <w:r>
        <w:rPr>
          <w:rFonts w:hint="eastAsia" w:ascii="仿宋_GB2312" w:hAnsi="仿宋" w:eastAsia="仿宋_GB2312" w:cs="仿宋"/>
          <w:kern w:val="0"/>
        </w:rPr>
        <w:t>具备职业生涯发展基础和终身学习能力，能胜任</w:t>
      </w:r>
      <w:r>
        <w:rPr>
          <w:rFonts w:hint="eastAsia" w:ascii="仿宋_GB2312" w:hAnsi="仿宋" w:eastAsia="仿宋_GB2312" w:cs="仿宋_GB2312"/>
        </w:rPr>
        <w:t>生产、服务一线工作的高素质劳动者和技能型人才；为专科高职教育和本科职业教育奠定坚固的基础。</w:t>
      </w:r>
    </w:p>
    <w:p>
      <w:pPr>
        <w:pStyle w:val="45"/>
        <w:snapToGrid w:val="0"/>
        <w:spacing w:line="360" w:lineRule="auto"/>
        <w:ind w:firstLine="452" w:firstLineChars="150"/>
        <w:outlineLvl w:val="1"/>
        <w:rPr>
          <w:rFonts w:ascii="仿宋_GB2312" w:eastAsia="仿宋_GB2312"/>
          <w:b/>
          <w:sz w:val="30"/>
          <w:szCs w:val="30"/>
        </w:rPr>
      </w:pPr>
      <w:bookmarkStart w:id="21" w:name="_Toc438969728"/>
      <w:bookmarkStart w:id="22" w:name="_Toc438974520"/>
      <w:r>
        <w:rPr>
          <w:rFonts w:hint="eastAsia" w:ascii="仿宋_GB2312" w:eastAsia="仿宋_GB2312"/>
          <w:b/>
          <w:sz w:val="30"/>
          <w:szCs w:val="30"/>
        </w:rPr>
        <w:t>（二）人才培养规格</w:t>
      </w:r>
      <w:bookmarkEnd w:id="21"/>
      <w:bookmarkEnd w:id="22"/>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本专业毕业生应具备以下职业素养、专业知识和技能：</w:t>
      </w:r>
    </w:p>
    <w:p>
      <w:pPr>
        <w:snapToGrid w:val="0"/>
        <w:spacing w:beforeLines="0" w:line="360" w:lineRule="auto"/>
        <w:ind w:firstLine="562" w:firstLineChars="200"/>
        <w:rPr>
          <w:rFonts w:ascii="仿宋_GB2312" w:eastAsia="仿宋_GB2312"/>
          <w:b/>
        </w:rPr>
      </w:pPr>
      <w:bookmarkStart w:id="23" w:name="_Toc421211148"/>
      <w:bookmarkStart w:id="24" w:name="_Toc423458250"/>
      <w:bookmarkStart w:id="25" w:name="_Toc421211149"/>
      <w:bookmarkStart w:id="26" w:name="_Toc423458251"/>
      <w:r>
        <w:rPr>
          <w:rFonts w:hint="eastAsia" w:ascii="仿宋_GB2312" w:eastAsia="仿宋_GB2312"/>
          <w:b/>
        </w:rPr>
        <w:t>1.职业素养</w:t>
      </w:r>
      <w:bookmarkEnd w:id="23"/>
      <w:bookmarkEnd w:id="24"/>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（1）</w:t>
      </w:r>
      <w:r>
        <w:rPr>
          <w:rFonts w:hint="eastAsia" w:ascii="仿宋_GB2312" w:eastAsia="仿宋_GB2312" w:cs="仿宋_GB2312"/>
        </w:rPr>
        <w:t>具有良好的道德品质和职业信誉，爱岗敬业、遵纪守法。</w:t>
      </w:r>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（2）</w:t>
      </w:r>
      <w:r>
        <w:rPr>
          <w:rFonts w:hint="eastAsia" w:ascii="仿宋_GB2312" w:eastAsia="仿宋_GB2312" w:cs="仿宋_GB2312"/>
        </w:rPr>
        <w:t>具有良好的责任心、进取心和服务意识。</w:t>
      </w:r>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（3）</w:t>
      </w:r>
      <w:r>
        <w:rPr>
          <w:rFonts w:hint="eastAsia" w:ascii="仿宋_GB2312" w:eastAsia="仿宋_GB2312" w:cs="仿宋_GB2312"/>
        </w:rPr>
        <w:t>具有人际交往与团队协作能力。</w:t>
      </w:r>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（4）</w:t>
      </w:r>
      <w:r>
        <w:rPr>
          <w:rFonts w:hint="eastAsia" w:ascii="仿宋_GB2312" w:eastAsia="仿宋_GB2312" w:cs="仿宋_GB2312"/>
        </w:rPr>
        <w:t>具有良好的书面表达和口头表达能力。</w:t>
      </w:r>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（5）</w:t>
      </w:r>
      <w:r>
        <w:rPr>
          <w:rFonts w:hint="eastAsia" w:ascii="仿宋_GB2312" w:eastAsia="仿宋_GB2312" w:cs="仿宋_GB2312"/>
        </w:rPr>
        <w:t>具有获取信息、学习新知识的能力。</w:t>
      </w:r>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（6）</w:t>
      </w:r>
      <w:r>
        <w:rPr>
          <w:rFonts w:hint="eastAsia" w:ascii="仿宋_GB2312" w:eastAsia="仿宋_GB2312" w:cs="仿宋_GB2312"/>
        </w:rPr>
        <w:t>具有安全文明生产、节能环保和遵守操作规程的意识。</w:t>
      </w:r>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（7）</w:t>
      </w:r>
      <w:r>
        <w:rPr>
          <w:rFonts w:hint="eastAsia" w:ascii="仿宋_GB2312" w:eastAsia="仿宋_GB2312" w:cs="仿宋_GB2312"/>
        </w:rPr>
        <w:t>具有一定的计算机操作能力。</w:t>
      </w:r>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（8）</w:t>
      </w:r>
      <w:r>
        <w:rPr>
          <w:rFonts w:hint="eastAsia" w:ascii="仿宋_GB2312" w:eastAsia="仿宋_GB2312" w:cs="仿宋_GB2312"/>
        </w:rPr>
        <w:t>具有一定的英语阅读和会话交流能力。</w:t>
      </w:r>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（9）</w:t>
      </w:r>
      <w:r>
        <w:rPr>
          <w:rFonts w:hint="eastAsia" w:ascii="仿宋_GB2312" w:eastAsia="仿宋_GB2312" w:cs="仿宋_GB2312"/>
        </w:rPr>
        <w:t>具有健康的身体和心理。</w:t>
      </w:r>
    </w:p>
    <w:bookmarkEnd w:id="25"/>
    <w:bookmarkEnd w:id="26"/>
    <w:p>
      <w:pPr>
        <w:snapToGrid w:val="0"/>
        <w:spacing w:beforeLines="0" w:line="360" w:lineRule="auto"/>
        <w:ind w:firstLine="562" w:firstLineChars="200"/>
        <w:rPr>
          <w:rFonts w:ascii="仿宋_GB2312" w:eastAsia="仿宋_GB2312"/>
          <w:b/>
        </w:rPr>
      </w:pPr>
      <w:bookmarkStart w:id="27" w:name="_Toc438969729"/>
      <w:r>
        <w:rPr>
          <w:rFonts w:hint="eastAsia" w:ascii="仿宋_GB2312" w:eastAsia="仿宋_GB2312"/>
          <w:b/>
        </w:rPr>
        <w:t>2.专业知识和技能</w:t>
      </w:r>
      <w:bookmarkEnd w:id="27"/>
    </w:p>
    <w:p>
      <w:pPr>
        <w:adjustRightInd w:val="0"/>
        <w:snapToGrid w:val="0"/>
        <w:spacing w:beforeLines="0" w:line="360" w:lineRule="auto"/>
        <w:ind w:firstLine="560" w:firstLineChars="200"/>
        <w:jc w:val="left"/>
        <w:rPr>
          <w:rFonts w:ascii="仿宋_GB2312" w:hAnsi="宋体" w:eastAsia="仿宋_GB2312"/>
        </w:rPr>
      </w:pPr>
      <w:r>
        <w:rPr>
          <w:rFonts w:hint="eastAsia" w:ascii="仿宋_GB2312" w:hAnsi="宋体fal" w:eastAsia="仿宋_GB2312" w:cs="宋体fal"/>
        </w:rPr>
        <w:t>（1）</w:t>
      </w:r>
      <w:r>
        <w:rPr>
          <w:rFonts w:hint="eastAsia" w:ascii="仿宋_GB2312" w:hAnsi="仿宋" w:eastAsia="仿宋_GB2312" w:cs="仿宋_GB2312"/>
        </w:rPr>
        <w:t>具有查阅和识读汽车维修技术资料的能力。</w:t>
      </w:r>
    </w:p>
    <w:p>
      <w:pPr>
        <w:adjustRightInd w:val="0"/>
        <w:snapToGrid w:val="0"/>
        <w:spacing w:beforeLines="0" w:line="360" w:lineRule="auto"/>
        <w:ind w:firstLine="560" w:firstLineChars="200"/>
        <w:jc w:val="left"/>
        <w:rPr>
          <w:rFonts w:ascii="仿宋_GB2312" w:hAnsi="宋体" w:eastAsia="仿宋_GB2312"/>
        </w:rPr>
      </w:pPr>
      <w:r>
        <w:rPr>
          <w:rFonts w:hint="eastAsia" w:ascii="仿宋_GB2312" w:hAnsi="宋体fal" w:eastAsia="仿宋_GB2312" w:cs="宋体fal"/>
        </w:rPr>
        <w:t>（2）</w:t>
      </w:r>
      <w:r>
        <w:rPr>
          <w:rFonts w:hint="eastAsia" w:ascii="仿宋_GB2312" w:hAnsi="宋体" w:eastAsia="仿宋_GB2312" w:cs="仿宋_GB2312"/>
        </w:rPr>
        <w:t>掌握电工电子技术、汽车识图、钳工等专业基础知识。具备根据图纸要求，进行钳工操作的能力。</w:t>
      </w:r>
    </w:p>
    <w:p>
      <w:pPr>
        <w:adjustRightInd w:val="0"/>
        <w:snapToGrid w:val="0"/>
        <w:spacing w:beforeLines="0" w:line="360" w:lineRule="auto"/>
        <w:ind w:firstLine="560" w:firstLineChars="200"/>
        <w:jc w:val="left"/>
        <w:rPr>
          <w:rFonts w:ascii="仿宋_GB2312" w:hAnsi="宋体" w:eastAsia="仿宋_GB2312"/>
        </w:rPr>
      </w:pPr>
      <w:r>
        <w:rPr>
          <w:rFonts w:hint="eastAsia" w:ascii="仿宋_GB2312" w:hAnsi="宋体fal" w:eastAsia="仿宋_GB2312" w:cs="宋体fal"/>
        </w:rPr>
        <w:t>（3）</w:t>
      </w:r>
      <w:r>
        <w:rPr>
          <w:rFonts w:hint="eastAsia" w:ascii="仿宋_GB2312" w:hAnsi="仿宋" w:eastAsia="仿宋_GB2312" w:cs="仿宋_GB2312"/>
        </w:rPr>
        <w:t>具备正确识读中等复杂程度汽车零件图和装配图、绘制简单零件图的能力。</w:t>
      </w:r>
    </w:p>
    <w:p>
      <w:pPr>
        <w:adjustRightInd w:val="0"/>
        <w:snapToGrid w:val="0"/>
        <w:spacing w:beforeLines="0" w:line="360" w:lineRule="auto"/>
        <w:ind w:firstLine="560" w:firstLineChars="200"/>
        <w:jc w:val="left"/>
        <w:rPr>
          <w:rFonts w:ascii="仿宋_GB2312" w:hAnsi="宋体" w:eastAsia="仿宋_GB2312"/>
        </w:rPr>
      </w:pPr>
      <w:r>
        <w:rPr>
          <w:rFonts w:hint="eastAsia" w:ascii="仿宋_GB2312" w:hAnsi="宋体fal" w:eastAsia="仿宋_GB2312" w:cs="宋体fal"/>
        </w:rPr>
        <w:t>（4）</w:t>
      </w:r>
      <w:r>
        <w:rPr>
          <w:rFonts w:hint="eastAsia" w:ascii="仿宋_GB2312" w:hAnsi="仿宋" w:eastAsia="仿宋_GB2312" w:cs="仿宋_GB2312"/>
        </w:rPr>
        <w:t>具有规范使用汽车维修常用的工具、量具、仪器、仪表、诊断设备及维修辅助设备的能力。</w:t>
      </w:r>
    </w:p>
    <w:p>
      <w:pPr>
        <w:adjustRightInd w:val="0"/>
        <w:snapToGrid w:val="0"/>
        <w:spacing w:beforeLines="0" w:line="360" w:lineRule="auto"/>
        <w:ind w:firstLine="560" w:firstLineChars="200"/>
        <w:jc w:val="left"/>
        <w:rPr>
          <w:rFonts w:ascii="仿宋_GB2312" w:hAnsi="宋体" w:eastAsia="仿宋_GB2312"/>
        </w:rPr>
      </w:pPr>
      <w:r>
        <w:rPr>
          <w:rFonts w:hint="eastAsia" w:ascii="仿宋_GB2312" w:hAnsi="宋体fal" w:eastAsia="仿宋_GB2312" w:cs="宋体fal"/>
        </w:rPr>
        <w:t>（5）</w:t>
      </w:r>
      <w:r>
        <w:rPr>
          <w:rFonts w:hint="eastAsia" w:ascii="仿宋_GB2312" w:hAnsi="仿宋" w:eastAsia="仿宋_GB2312" w:cs="仿宋_GB2312"/>
        </w:rPr>
        <w:t>掌握典型汽车的结构与工作原理、使用及维护方面的基本理论知</w:t>
      </w:r>
      <w:r>
        <w:rPr>
          <w:rFonts w:hint="eastAsia" w:ascii="仿宋_GB2312" w:hAnsi="宋体" w:eastAsia="仿宋_GB2312" w:cs="仿宋_GB2312"/>
        </w:rPr>
        <w:t>。掌握</w:t>
      </w:r>
      <w:r>
        <w:rPr>
          <w:rFonts w:hint="eastAsia" w:ascii="仿宋_GB2312" w:hAnsi="仿宋" w:eastAsia="仿宋_GB2312" w:cs="仿宋_GB2312"/>
        </w:rPr>
        <w:t>3种典型汽车产品中采用的机、电、液、气等控制技术。</w:t>
      </w:r>
    </w:p>
    <w:p>
      <w:pPr>
        <w:widowControl/>
        <w:snapToGrid w:val="0"/>
        <w:spacing w:beforeLines="0" w:line="360" w:lineRule="auto"/>
        <w:ind w:firstLine="560" w:firstLineChars="200"/>
        <w:jc w:val="left"/>
        <w:rPr>
          <w:rFonts w:ascii="仿宋_GB2312" w:hAnsi="仿宋" w:eastAsia="仿宋_GB2312"/>
        </w:rPr>
      </w:pPr>
      <w:r>
        <w:rPr>
          <w:rFonts w:hint="eastAsia" w:ascii="仿宋_GB2312" w:hAnsi="宋体fal" w:eastAsia="仿宋_GB2312" w:cs="宋体fal"/>
        </w:rPr>
        <w:t>（6）</w:t>
      </w:r>
      <w:r>
        <w:rPr>
          <w:rFonts w:hint="eastAsia" w:ascii="仿宋_GB2312" w:hAnsi="仿宋" w:eastAsia="仿宋_GB2312" w:cs="仿宋_GB2312"/>
        </w:rPr>
        <w:t>具有利用汽车专用万用表进行电路故障常规检测的能力。具有规范进行发动机总成的拆装作业的能力。具有汽车底盘系统各总成的拆装作业的能力。</w:t>
      </w:r>
    </w:p>
    <w:p>
      <w:pPr>
        <w:snapToGrid w:val="0"/>
        <w:spacing w:beforeLines="0" w:line="360" w:lineRule="auto"/>
        <w:ind w:firstLine="560" w:firstLineChars="200"/>
        <w:jc w:val="left"/>
        <w:rPr>
          <w:rFonts w:ascii="仿宋_GB2312" w:eastAsia="仿宋_GB2312"/>
          <w:b/>
          <w:bCs/>
        </w:rPr>
      </w:pPr>
      <w:r>
        <w:rPr>
          <w:rFonts w:hint="eastAsia" w:ascii="仿宋_GB2312" w:hAnsi="宋体fal" w:eastAsia="仿宋_GB2312" w:cs="宋体fal"/>
        </w:rPr>
        <w:t>（7）</w:t>
      </w:r>
      <w:r>
        <w:rPr>
          <w:rFonts w:hint="eastAsia" w:ascii="仿宋_GB2312" w:hAnsi="仿宋" w:eastAsia="仿宋_GB2312" w:cs="仿宋_GB2312"/>
        </w:rPr>
        <w:t>具有汽车一、二级维护作业的能力；具有对汽车各项使用性能检测的能力；具有车辆故障检查和判断的能力；具有对汽车的简单故障进行诊断和排除的能力。</w:t>
      </w:r>
    </w:p>
    <w:p>
      <w:pPr>
        <w:widowControl/>
        <w:snapToGrid w:val="0"/>
        <w:spacing w:beforeLines="0" w:line="360" w:lineRule="auto"/>
        <w:ind w:firstLine="560" w:firstLineChars="200"/>
        <w:jc w:val="left"/>
        <w:rPr>
          <w:rFonts w:ascii="仿宋_GB2312" w:hAnsi="仿宋" w:eastAsia="仿宋_GB2312" w:cs="仿宋_GB2312"/>
        </w:rPr>
      </w:pPr>
      <w:r>
        <w:rPr>
          <w:rFonts w:hint="eastAsia" w:ascii="仿宋_GB2312" w:hAnsi="宋体fal" w:eastAsia="仿宋_GB2312" w:cs="宋体fal"/>
        </w:rPr>
        <w:t>（8）</w:t>
      </w:r>
      <w:r>
        <w:rPr>
          <w:rFonts w:hint="eastAsia" w:ascii="仿宋_GB2312" w:hAnsi="仿宋" w:eastAsia="仿宋_GB2312" w:cs="仿宋_GB2312"/>
        </w:rPr>
        <w:t>具有对车身电气设备的常见故障诊断和排除的能力；具有汽车空调维护的能力，并能对汽车空调的简单故障进行诊断和排除；具有对汽车总线系统的简单故障进行诊断和排除的能力。</w:t>
      </w:r>
    </w:p>
    <w:p>
      <w:pPr>
        <w:widowControl/>
        <w:snapToGrid w:val="0"/>
        <w:spacing w:beforeLines="0" w:line="360" w:lineRule="auto"/>
        <w:ind w:firstLine="560" w:firstLineChars="200"/>
        <w:jc w:val="left"/>
        <w:rPr>
          <w:rFonts w:ascii="仿宋_GB2312" w:hAnsi="仿宋" w:eastAsia="仿宋_GB2312" w:cs="仿宋_GB2312"/>
        </w:rPr>
      </w:pPr>
      <w:r>
        <w:rPr>
          <w:rFonts w:hint="eastAsia" w:ascii="仿宋_GB2312" w:hAnsi="仿宋" w:eastAsia="仿宋_GB2312" w:cs="仿宋_GB2312"/>
        </w:rPr>
        <w:t>（9）具有新能源汽车的简单故障诊断和排除能力。</w:t>
      </w:r>
      <w:bookmarkStart w:id="28" w:name="_Toc437332757"/>
      <w:bookmarkStart w:id="29" w:name="_Toc438974521"/>
    </w:p>
    <w:p>
      <w:pPr>
        <w:widowControl/>
        <w:snapToGrid w:val="0"/>
        <w:spacing w:beforeLines="0" w:line="360" w:lineRule="auto"/>
        <w:ind w:firstLine="560" w:firstLineChars="200"/>
        <w:jc w:val="left"/>
        <w:rPr>
          <w:rFonts w:ascii="仿宋_GB2312" w:hAnsi="仿宋" w:eastAsia="仿宋_GB2312" w:cs="仿宋_GB2312"/>
        </w:rPr>
      </w:pPr>
      <w:r>
        <w:rPr>
          <w:rFonts w:hint="eastAsia" w:ascii="仿宋_GB2312" w:hAnsi="仿宋" w:eastAsia="仿宋_GB2312" w:cs="仿宋_GB2312"/>
        </w:rPr>
        <w:t>（</w:t>
      </w:r>
      <w:r>
        <w:rPr>
          <w:rFonts w:ascii="仿宋_GB2312" w:hAnsi="仿宋" w:eastAsia="仿宋_GB2312" w:cs="仿宋_GB2312"/>
        </w:rPr>
        <w:t>10</w:t>
      </w:r>
      <w:r>
        <w:rPr>
          <w:rFonts w:hint="eastAsia" w:ascii="仿宋_GB2312" w:hAnsi="仿宋" w:eastAsia="仿宋_GB2312" w:cs="仿宋_GB2312"/>
        </w:rPr>
        <w:t>）具有新能源汽车检查与常规维护及充电操作能力。</w:t>
      </w:r>
    </w:p>
    <w:p>
      <w:pPr>
        <w:pStyle w:val="45"/>
        <w:snapToGrid w:val="0"/>
        <w:spacing w:line="360" w:lineRule="auto"/>
        <w:ind w:firstLine="643"/>
        <w:outlineLvl w:val="0"/>
        <w:rPr>
          <w:rFonts w:ascii="仿宋_GB2312" w:eastAsia="仿宋_GB2312"/>
          <w:b/>
          <w:bCs/>
          <w:sz w:val="32"/>
          <w:szCs w:val="32"/>
        </w:rPr>
      </w:pPr>
      <w:r>
        <w:rPr>
          <w:rFonts w:hint="eastAsia" w:ascii="仿宋_GB2312" w:eastAsia="仿宋_GB2312" w:cs="仿宋_GB2312"/>
          <w:b/>
          <w:bCs/>
          <w:sz w:val="32"/>
          <w:szCs w:val="32"/>
        </w:rPr>
        <w:t>五、</w:t>
      </w:r>
      <w:bookmarkEnd w:id="19"/>
      <w:bookmarkEnd w:id="20"/>
      <w:bookmarkEnd w:id="28"/>
      <w:r>
        <w:rPr>
          <w:rFonts w:hint="eastAsia" w:ascii="仿宋_GB2312" w:eastAsia="仿宋_GB2312"/>
          <w:b/>
          <w:sz w:val="32"/>
          <w:szCs w:val="32"/>
        </w:rPr>
        <w:t>职业岗位分析与职业资格证书</w:t>
      </w:r>
      <w:bookmarkEnd w:id="29"/>
    </w:p>
    <w:tbl>
      <w:tblPr>
        <w:tblStyle w:val="18"/>
        <w:tblpPr w:leftFromText="180" w:rightFromText="180" w:vertAnchor="text" w:horzAnchor="margin" w:tblpXSpec="center" w:tblpY="207"/>
        <w:tblOverlap w:val="never"/>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28" w:type="dxa"/>
          <w:right w:w="108" w:type="dxa"/>
        </w:tblCellMar>
      </w:tblPr>
      <w:tblGrid>
        <w:gridCol w:w="758"/>
        <w:gridCol w:w="2592"/>
        <w:gridCol w:w="2286"/>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510" w:hRule="atLeast"/>
        </w:trPr>
        <w:tc>
          <w:tcPr>
            <w:tcW w:w="455" w:type="pct"/>
            <w:vAlign w:val="center"/>
          </w:tcPr>
          <w:p>
            <w:pPr>
              <w:snapToGrid w:val="0"/>
              <w:spacing w:beforeLines="0" w:line="240" w:lineRule="auto"/>
              <w:jc w:val="center"/>
              <w:rPr>
                <w:rFonts w:ascii="仿宋_GB2312" w:hAnsi="仿宋" w:eastAsia="仿宋_GB2312"/>
                <w:b/>
                <w:bCs/>
                <w:sz w:val="24"/>
                <w:szCs w:val="24"/>
              </w:rPr>
            </w:pPr>
            <w:bookmarkStart w:id="30" w:name="_Toc421211147"/>
            <w:bookmarkStart w:id="31" w:name="_Toc423458249"/>
            <w:r>
              <w:rPr>
                <w:rFonts w:hint="eastAsia" w:ascii="仿宋_GB2312" w:hAnsi="仿宋" w:eastAsia="仿宋_GB2312" w:cs="仿宋_GB2312"/>
                <w:bCs/>
                <w:sz w:val="24"/>
                <w:szCs w:val="24"/>
              </w:rPr>
              <w:t>序号</w:t>
            </w:r>
          </w:p>
        </w:tc>
        <w:tc>
          <w:tcPr>
            <w:tcW w:w="1556" w:type="pct"/>
            <w:vAlign w:val="center"/>
          </w:tcPr>
          <w:p>
            <w:pPr>
              <w:snapToGrid w:val="0"/>
              <w:spacing w:beforeLines="0" w:line="240" w:lineRule="auto"/>
              <w:jc w:val="center"/>
              <w:rPr>
                <w:rFonts w:ascii="仿宋_GB2312" w:hAnsi="仿宋" w:eastAsia="仿宋_GB2312"/>
                <w:b/>
                <w:bCs/>
                <w:sz w:val="24"/>
                <w:szCs w:val="24"/>
              </w:rPr>
            </w:pPr>
            <w:r>
              <w:rPr>
                <w:rFonts w:hint="eastAsia" w:ascii="仿宋_GB2312" w:hAnsi="仿宋" w:eastAsia="仿宋_GB2312" w:cs="仿宋_GB2312"/>
                <w:bCs/>
                <w:sz w:val="24"/>
                <w:szCs w:val="24"/>
              </w:rPr>
              <w:t>对应职业（岗位）</w:t>
            </w:r>
          </w:p>
        </w:tc>
        <w:tc>
          <w:tcPr>
            <w:tcW w:w="1372" w:type="pct"/>
            <w:vAlign w:val="center"/>
          </w:tcPr>
          <w:p>
            <w:pPr>
              <w:snapToGrid w:val="0"/>
              <w:spacing w:beforeLines="0" w:line="240" w:lineRule="auto"/>
              <w:jc w:val="center"/>
              <w:rPr>
                <w:rFonts w:ascii="仿宋_GB2312" w:hAnsi="仿宋" w:eastAsia="仿宋_GB2312"/>
                <w:b/>
                <w:bCs/>
                <w:sz w:val="24"/>
                <w:szCs w:val="24"/>
              </w:rPr>
            </w:pPr>
            <w:r>
              <w:rPr>
                <w:rFonts w:hint="eastAsia" w:ascii="仿宋_GB2312" w:hAnsi="仿宋" w:eastAsia="仿宋_GB2312" w:cs="仿宋_GB2312"/>
                <w:bCs/>
                <w:sz w:val="24"/>
                <w:szCs w:val="24"/>
              </w:rPr>
              <w:t>职业资格证书举例</w:t>
            </w:r>
          </w:p>
        </w:tc>
        <w:tc>
          <w:tcPr>
            <w:tcW w:w="1617" w:type="pct"/>
            <w:vAlign w:val="center"/>
          </w:tcPr>
          <w:p>
            <w:pPr>
              <w:snapToGrid w:val="0"/>
              <w:spacing w:beforeLines="0" w:line="240" w:lineRule="auto"/>
              <w:jc w:val="center"/>
              <w:rPr>
                <w:rFonts w:ascii="仿宋_GB2312" w:hAnsi="仿宋" w:eastAsia="仿宋_GB2312" w:cs="仿宋_GB2312"/>
                <w:bCs/>
                <w:sz w:val="24"/>
                <w:szCs w:val="24"/>
              </w:rPr>
            </w:pPr>
            <w:r>
              <w:rPr>
                <w:rFonts w:hint="eastAsia" w:ascii="仿宋_GB2312" w:hAnsi="仿宋" w:eastAsia="仿宋_GB2312" w:cs="仿宋_GB2312"/>
                <w:bCs/>
                <w:sz w:val="24"/>
                <w:szCs w:val="24"/>
              </w:rPr>
              <w:t>专业（技能）方向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exact"/>
        </w:trPr>
        <w:tc>
          <w:tcPr>
            <w:tcW w:w="455" w:type="pct"/>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1</w:t>
            </w:r>
          </w:p>
        </w:tc>
        <w:tc>
          <w:tcPr>
            <w:tcW w:w="1556" w:type="pct"/>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汽车机修工</w:t>
            </w:r>
          </w:p>
        </w:tc>
        <w:tc>
          <w:tcPr>
            <w:tcW w:w="1372" w:type="pct"/>
            <w:vMerge w:val="restart"/>
            <w:vAlign w:val="center"/>
          </w:tcPr>
          <w:p>
            <w:pPr>
              <w:snapToGrid w:val="0"/>
              <w:spacing w:beforeLines="0" w:line="240" w:lineRule="auto"/>
              <w:ind w:left="-106" w:leftChars="-38"/>
              <w:jc w:val="center"/>
              <w:rPr>
                <w:rFonts w:ascii="仿宋_GB2312" w:hAnsi="仿宋" w:eastAsia="仿宋_GB2312"/>
                <w:sz w:val="24"/>
                <w:szCs w:val="24"/>
              </w:rPr>
            </w:pPr>
            <w:r>
              <w:rPr>
                <w:rFonts w:hint="eastAsia" w:ascii="仿宋_GB2312" w:hAnsi="仿宋" w:eastAsia="仿宋_GB2312" w:cs="仿宋_GB2312"/>
                <w:sz w:val="24"/>
                <w:szCs w:val="24"/>
              </w:rPr>
              <w:t>汽车维修中级、</w:t>
            </w:r>
          </w:p>
          <w:p>
            <w:pPr>
              <w:snapToGrid w:val="0"/>
              <w:spacing w:beforeLines="0" w:line="240" w:lineRule="auto"/>
              <w:ind w:left="-106" w:leftChars="-38"/>
              <w:jc w:val="center"/>
              <w:rPr>
                <w:rFonts w:ascii="仿宋_GB2312" w:hAnsi="仿宋" w:eastAsia="仿宋_GB2312" w:cs="仿宋_GB2312"/>
                <w:sz w:val="24"/>
                <w:szCs w:val="24"/>
              </w:rPr>
            </w:pPr>
            <w:r>
              <w:rPr>
                <w:rFonts w:hint="eastAsia" w:ascii="仿宋_GB2312" w:hAnsi="仿宋" w:eastAsia="仿宋_GB2312" w:cs="仿宋_GB2312"/>
                <w:sz w:val="24"/>
                <w:szCs w:val="24"/>
              </w:rPr>
              <w:t>汽车电工中级、</w:t>
            </w:r>
          </w:p>
          <w:p>
            <w:pPr>
              <w:snapToGrid w:val="0"/>
              <w:spacing w:beforeLines="0" w:line="240" w:lineRule="auto"/>
              <w:ind w:left="-106" w:leftChars="-38"/>
              <w:jc w:val="center"/>
              <w:rPr>
                <w:rFonts w:ascii="仿宋_GB2312" w:hAnsi="仿宋" w:eastAsia="仿宋_GB2312" w:cs="仿宋_GB2312"/>
                <w:color w:val="000000" w:themeColor="text1"/>
                <w:sz w:val="24"/>
                <w:szCs w:val="24"/>
                <w14:textFill>
                  <w14:solidFill>
                    <w14:schemeClr w14:val="tx1"/>
                  </w14:solidFill>
                </w14:textFill>
              </w:rPr>
            </w:pPr>
            <w:r>
              <w:rPr>
                <w:rFonts w:hint="eastAsia" w:ascii="仿宋_GB2312" w:hAnsi="仿宋" w:eastAsia="仿宋_GB2312" w:cs="仿宋_GB2312"/>
                <w:color w:val="000000" w:themeColor="text1"/>
                <w:sz w:val="24"/>
                <w:szCs w:val="24"/>
                <w14:textFill>
                  <w14:solidFill>
                    <w14:schemeClr w14:val="tx1"/>
                  </w14:solidFill>
                </w14:textFill>
              </w:rPr>
              <w:t>1+X证书、</w:t>
            </w:r>
          </w:p>
          <w:p>
            <w:pPr>
              <w:snapToGrid w:val="0"/>
              <w:spacing w:beforeLines="0" w:line="240" w:lineRule="auto"/>
              <w:ind w:left="-106" w:leftChars="-38"/>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s="仿宋_GB2312"/>
                <w:color w:val="000000" w:themeColor="text1"/>
                <w:sz w:val="24"/>
                <w:szCs w:val="24"/>
                <w14:textFill>
                  <w14:solidFill>
                    <w14:schemeClr w14:val="tx1"/>
                  </w14:solidFill>
                </w14:textFill>
              </w:rPr>
              <w:t>计算机等级</w:t>
            </w:r>
            <w:r>
              <w:rPr>
                <w:rFonts w:ascii="仿宋_GB2312" w:hAnsi="仿宋" w:eastAsia="仿宋_GB2312" w:cs="仿宋_GB2312"/>
                <w:color w:val="000000" w:themeColor="text1"/>
                <w:sz w:val="24"/>
                <w:szCs w:val="24"/>
                <w14:textFill>
                  <w14:solidFill>
                    <w14:schemeClr w14:val="tx1"/>
                  </w14:solidFill>
                </w14:textFill>
              </w:rPr>
              <w:t>考试证书</w:t>
            </w:r>
          </w:p>
        </w:tc>
        <w:tc>
          <w:tcPr>
            <w:tcW w:w="1617" w:type="pct"/>
            <w:vMerge w:val="restart"/>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汽车机电维修、汽车新能源、汽车商务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exact"/>
        </w:trPr>
        <w:tc>
          <w:tcPr>
            <w:tcW w:w="455" w:type="pct"/>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2</w:t>
            </w:r>
          </w:p>
        </w:tc>
        <w:tc>
          <w:tcPr>
            <w:tcW w:w="1556" w:type="pct"/>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汽车维修电工</w:t>
            </w:r>
          </w:p>
        </w:tc>
        <w:tc>
          <w:tcPr>
            <w:tcW w:w="1372" w:type="pct"/>
            <w:vMerge w:val="continue"/>
            <w:vAlign w:val="center"/>
          </w:tcPr>
          <w:p>
            <w:pPr>
              <w:snapToGrid w:val="0"/>
              <w:spacing w:beforeLines="0" w:line="240" w:lineRule="auto"/>
              <w:jc w:val="center"/>
              <w:rPr>
                <w:rFonts w:ascii="仿宋_GB2312" w:eastAsia="仿宋_GB2312"/>
                <w:sz w:val="24"/>
                <w:szCs w:val="24"/>
              </w:rPr>
            </w:pPr>
          </w:p>
        </w:tc>
        <w:tc>
          <w:tcPr>
            <w:tcW w:w="1617" w:type="pct"/>
            <w:vMerge w:val="continue"/>
            <w:vAlign w:val="center"/>
          </w:tcPr>
          <w:p>
            <w:pPr>
              <w:snapToGrid w:val="0"/>
              <w:spacing w:beforeLines="0"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exact"/>
        </w:trPr>
        <w:tc>
          <w:tcPr>
            <w:tcW w:w="455" w:type="pct"/>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3</w:t>
            </w:r>
          </w:p>
        </w:tc>
        <w:tc>
          <w:tcPr>
            <w:tcW w:w="1556" w:type="pct"/>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车辆事故估损员</w:t>
            </w:r>
          </w:p>
        </w:tc>
        <w:tc>
          <w:tcPr>
            <w:tcW w:w="1372" w:type="pct"/>
            <w:vMerge w:val="continue"/>
            <w:vAlign w:val="center"/>
          </w:tcPr>
          <w:p>
            <w:pPr>
              <w:snapToGrid w:val="0"/>
              <w:spacing w:beforeLines="0" w:line="240" w:lineRule="auto"/>
              <w:jc w:val="center"/>
              <w:rPr>
                <w:rFonts w:ascii="仿宋_GB2312" w:eastAsia="仿宋_GB2312"/>
                <w:sz w:val="24"/>
                <w:szCs w:val="24"/>
              </w:rPr>
            </w:pPr>
          </w:p>
        </w:tc>
        <w:tc>
          <w:tcPr>
            <w:tcW w:w="1617" w:type="pct"/>
            <w:vMerge w:val="continue"/>
            <w:vAlign w:val="center"/>
          </w:tcPr>
          <w:p>
            <w:pPr>
              <w:snapToGrid w:val="0"/>
              <w:spacing w:beforeLines="0"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exact"/>
        </w:trPr>
        <w:tc>
          <w:tcPr>
            <w:tcW w:w="455" w:type="pct"/>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4</w:t>
            </w:r>
          </w:p>
        </w:tc>
        <w:tc>
          <w:tcPr>
            <w:tcW w:w="1556" w:type="pct"/>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汽车鉴定评估员</w:t>
            </w:r>
          </w:p>
        </w:tc>
        <w:tc>
          <w:tcPr>
            <w:tcW w:w="1372" w:type="pct"/>
            <w:vMerge w:val="continue"/>
            <w:vAlign w:val="center"/>
          </w:tcPr>
          <w:p>
            <w:pPr>
              <w:snapToGrid w:val="0"/>
              <w:spacing w:beforeLines="0" w:line="240" w:lineRule="auto"/>
              <w:jc w:val="center"/>
              <w:rPr>
                <w:rFonts w:ascii="仿宋_GB2312" w:eastAsia="仿宋_GB2312"/>
                <w:sz w:val="24"/>
                <w:szCs w:val="24"/>
              </w:rPr>
            </w:pPr>
          </w:p>
        </w:tc>
        <w:tc>
          <w:tcPr>
            <w:tcW w:w="1617" w:type="pct"/>
            <w:vMerge w:val="continue"/>
            <w:vAlign w:val="center"/>
          </w:tcPr>
          <w:p>
            <w:pPr>
              <w:snapToGrid w:val="0"/>
              <w:spacing w:beforeLines="0"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exact"/>
        </w:trPr>
        <w:tc>
          <w:tcPr>
            <w:tcW w:w="455" w:type="pct"/>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5</w:t>
            </w:r>
          </w:p>
        </w:tc>
        <w:tc>
          <w:tcPr>
            <w:tcW w:w="1556" w:type="pct"/>
            <w:vAlign w:val="center"/>
          </w:tcPr>
          <w:p>
            <w:pPr>
              <w:snapToGrid w:val="0"/>
              <w:spacing w:beforeLines="0" w:line="240" w:lineRule="auto"/>
              <w:ind w:left="-101" w:leftChars="-36"/>
              <w:jc w:val="center"/>
              <w:rPr>
                <w:rFonts w:ascii="仿宋_GB2312" w:hAnsi="仿宋" w:eastAsia="仿宋_GB2312"/>
                <w:sz w:val="24"/>
                <w:szCs w:val="24"/>
              </w:rPr>
            </w:pPr>
            <w:r>
              <w:rPr>
                <w:rFonts w:hint="eastAsia" w:ascii="仿宋_GB2312" w:hAnsi="仿宋" w:eastAsia="仿宋_GB2312" w:cs="仿宋_GB2312"/>
                <w:sz w:val="24"/>
                <w:szCs w:val="24"/>
              </w:rPr>
              <w:t>汽车配件及用品销售员</w:t>
            </w:r>
          </w:p>
        </w:tc>
        <w:tc>
          <w:tcPr>
            <w:tcW w:w="1372" w:type="pct"/>
            <w:vMerge w:val="continue"/>
            <w:vAlign w:val="center"/>
          </w:tcPr>
          <w:p>
            <w:pPr>
              <w:snapToGrid w:val="0"/>
              <w:spacing w:beforeLines="0" w:line="240" w:lineRule="auto"/>
              <w:jc w:val="center"/>
              <w:rPr>
                <w:rFonts w:ascii="仿宋_GB2312" w:eastAsia="仿宋_GB2312"/>
                <w:sz w:val="24"/>
                <w:szCs w:val="24"/>
              </w:rPr>
            </w:pPr>
          </w:p>
        </w:tc>
        <w:tc>
          <w:tcPr>
            <w:tcW w:w="1617" w:type="pct"/>
            <w:vMerge w:val="continue"/>
            <w:vAlign w:val="center"/>
          </w:tcPr>
          <w:p>
            <w:pPr>
              <w:snapToGrid w:val="0"/>
              <w:spacing w:beforeLines="0"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exact"/>
        </w:trPr>
        <w:tc>
          <w:tcPr>
            <w:tcW w:w="455" w:type="pct"/>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6</w:t>
            </w:r>
          </w:p>
        </w:tc>
        <w:tc>
          <w:tcPr>
            <w:tcW w:w="1556" w:type="pct"/>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汽车整车销售员</w:t>
            </w:r>
          </w:p>
        </w:tc>
        <w:tc>
          <w:tcPr>
            <w:tcW w:w="1372" w:type="pct"/>
            <w:vMerge w:val="continue"/>
            <w:vAlign w:val="center"/>
          </w:tcPr>
          <w:p>
            <w:pPr>
              <w:snapToGrid w:val="0"/>
              <w:spacing w:beforeLines="0" w:line="240" w:lineRule="auto"/>
              <w:jc w:val="center"/>
              <w:rPr>
                <w:rFonts w:ascii="仿宋_GB2312" w:eastAsia="仿宋_GB2312"/>
                <w:sz w:val="24"/>
                <w:szCs w:val="24"/>
              </w:rPr>
            </w:pPr>
          </w:p>
        </w:tc>
        <w:tc>
          <w:tcPr>
            <w:tcW w:w="1617" w:type="pct"/>
            <w:vMerge w:val="continue"/>
            <w:vAlign w:val="center"/>
          </w:tcPr>
          <w:p>
            <w:pPr>
              <w:snapToGrid w:val="0"/>
              <w:spacing w:beforeLines="0"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exact"/>
        </w:trPr>
        <w:tc>
          <w:tcPr>
            <w:tcW w:w="455" w:type="pct"/>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7</w:t>
            </w:r>
          </w:p>
        </w:tc>
        <w:tc>
          <w:tcPr>
            <w:tcW w:w="1556" w:type="pct"/>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新能源汽车维修工</w:t>
            </w:r>
          </w:p>
        </w:tc>
        <w:tc>
          <w:tcPr>
            <w:tcW w:w="1372" w:type="pct"/>
            <w:vMerge w:val="continue"/>
            <w:vAlign w:val="center"/>
          </w:tcPr>
          <w:p>
            <w:pPr>
              <w:snapToGrid w:val="0"/>
              <w:spacing w:beforeLines="0" w:line="240" w:lineRule="auto"/>
              <w:jc w:val="center"/>
              <w:rPr>
                <w:rFonts w:ascii="仿宋_GB2312" w:eastAsia="仿宋_GB2312"/>
                <w:sz w:val="24"/>
                <w:szCs w:val="24"/>
              </w:rPr>
            </w:pPr>
          </w:p>
        </w:tc>
        <w:tc>
          <w:tcPr>
            <w:tcW w:w="1617" w:type="pct"/>
            <w:vMerge w:val="continue"/>
            <w:vAlign w:val="center"/>
          </w:tcPr>
          <w:p>
            <w:pPr>
              <w:snapToGrid w:val="0"/>
              <w:spacing w:beforeLines="0" w:line="240" w:lineRule="auto"/>
              <w:jc w:val="center"/>
              <w:rPr>
                <w:rFonts w:ascii="仿宋_GB2312" w:eastAsia="仿宋_GB2312"/>
                <w:sz w:val="24"/>
                <w:szCs w:val="24"/>
              </w:rPr>
            </w:pPr>
          </w:p>
        </w:tc>
      </w:tr>
      <w:bookmarkEnd w:id="30"/>
      <w:bookmarkEnd w:id="31"/>
    </w:tbl>
    <w:p>
      <w:pPr>
        <w:pStyle w:val="45"/>
        <w:snapToGrid w:val="0"/>
        <w:spacing w:line="240" w:lineRule="auto"/>
        <w:ind w:firstLine="562"/>
        <w:outlineLvl w:val="0"/>
        <w:rPr>
          <w:rFonts w:ascii="仿宋_GB2312" w:eastAsia="仿宋_GB2312" w:cs="仿宋_GB2312"/>
          <w:b/>
          <w:bCs/>
          <w:sz w:val="28"/>
          <w:szCs w:val="28"/>
        </w:rPr>
      </w:pPr>
      <w:bookmarkStart w:id="32" w:name="_Toc423458252"/>
      <w:bookmarkStart w:id="33" w:name="_Toc438974522"/>
      <w:bookmarkStart w:id="34" w:name="_Toc421211150"/>
      <w:bookmarkStart w:id="35" w:name="_Toc437332761"/>
    </w:p>
    <w:p>
      <w:pPr>
        <w:pStyle w:val="45"/>
        <w:snapToGrid w:val="0"/>
        <w:spacing w:line="360" w:lineRule="auto"/>
        <w:ind w:firstLine="643"/>
        <w:outlineLvl w:val="0"/>
        <w:rPr>
          <w:rFonts w:ascii="仿宋_GB2312" w:eastAsia="仿宋_GB2312"/>
          <w:b/>
          <w:bCs/>
          <w:sz w:val="32"/>
          <w:szCs w:val="32"/>
        </w:rPr>
      </w:pPr>
      <w:r>
        <w:rPr>
          <w:rFonts w:hint="eastAsia" w:ascii="仿宋_GB2312" w:eastAsia="仿宋_GB2312" w:cs="仿宋_GB2312"/>
          <w:b/>
          <w:bCs/>
          <w:sz w:val="32"/>
          <w:szCs w:val="32"/>
        </w:rPr>
        <w:t>六、主要接续专业</w:t>
      </w:r>
      <w:bookmarkEnd w:id="32"/>
      <w:bookmarkEnd w:id="33"/>
      <w:bookmarkEnd w:id="34"/>
      <w:bookmarkEnd w:id="35"/>
    </w:p>
    <w:p>
      <w:pPr>
        <w:adjustRightInd w:val="0"/>
        <w:snapToGrid w:val="0"/>
        <w:spacing w:beforeLines="0" w:line="360" w:lineRule="auto"/>
        <w:ind w:firstLine="560" w:firstLineChars="200"/>
        <w:jc w:val="left"/>
        <w:rPr>
          <w:rFonts w:ascii="仿宋_GB2312" w:hAnsi="宋体" w:eastAsia="仿宋_GB2312"/>
        </w:rPr>
      </w:pPr>
      <w:r>
        <w:rPr>
          <w:rFonts w:hint="eastAsia" w:ascii="仿宋_GB2312" w:hAnsi="宋体" w:eastAsia="仿宋_GB2312" w:cs="仿宋_GB2312"/>
        </w:rPr>
        <w:t>高职：汽车检测与维修技术、</w:t>
      </w:r>
      <w:r>
        <w:rPr>
          <w:rFonts w:hint="eastAsia" w:ascii="仿宋_GB2312" w:hAnsi="仿宋" w:eastAsia="仿宋_GB2312" w:cs="仿宋_GB2312"/>
        </w:rPr>
        <w:t>汽车制造与试验技术</w:t>
      </w:r>
      <w:r>
        <w:rPr>
          <w:rFonts w:hint="eastAsia" w:ascii="仿宋_GB2312" w:hAnsi="宋体" w:eastAsia="仿宋_GB2312" w:cs="仿宋_GB2312"/>
          <w:lang w:eastAsia="zh-CN"/>
        </w:rPr>
        <w:t>、</w:t>
      </w:r>
      <w:r>
        <w:rPr>
          <w:rFonts w:hint="eastAsia" w:ascii="仿宋_GB2312" w:hAnsi="宋体" w:eastAsia="仿宋_GB2312" w:cs="仿宋_GB2312"/>
        </w:rPr>
        <w:t>新能源汽车技术</w:t>
      </w:r>
    </w:p>
    <w:p>
      <w:pPr>
        <w:pStyle w:val="45"/>
        <w:snapToGrid w:val="0"/>
        <w:spacing w:line="360" w:lineRule="auto"/>
        <w:ind w:firstLine="643"/>
        <w:outlineLvl w:val="0"/>
        <w:rPr>
          <w:rFonts w:ascii="仿宋_GB2312" w:eastAsia="仿宋_GB2312"/>
          <w:b/>
          <w:sz w:val="32"/>
          <w:szCs w:val="32"/>
        </w:rPr>
      </w:pPr>
      <w:bookmarkStart w:id="36" w:name="_Toc437332763"/>
      <w:bookmarkStart w:id="37" w:name="_Toc438974523"/>
      <w:bookmarkStart w:id="38" w:name="_Toc421211151"/>
      <w:bookmarkStart w:id="39" w:name="_Toc423458253"/>
      <w:bookmarkStart w:id="40" w:name="_Toc437332762"/>
      <w:r>
        <w:rPr>
          <w:rFonts w:hint="eastAsia" w:ascii="仿宋_GB2312" w:eastAsia="仿宋_GB2312" w:cs="仿宋_GB2312"/>
          <w:b/>
          <w:bCs/>
          <w:sz w:val="32"/>
          <w:szCs w:val="32"/>
        </w:rPr>
        <w:t>七、</w:t>
      </w:r>
      <w:bookmarkEnd w:id="36"/>
      <w:r>
        <w:rPr>
          <w:rFonts w:hint="eastAsia" w:ascii="仿宋_GB2312" w:eastAsia="仿宋_GB2312"/>
          <w:b/>
          <w:sz w:val="32"/>
          <w:szCs w:val="32"/>
        </w:rPr>
        <w:t>教学分析</w:t>
      </w:r>
      <w:bookmarkEnd w:id="37"/>
    </w:p>
    <w:p>
      <w:pPr>
        <w:pStyle w:val="45"/>
        <w:snapToGrid w:val="0"/>
        <w:spacing w:line="360" w:lineRule="auto"/>
        <w:ind w:firstLine="560"/>
        <w:outlineLvl w:val="0"/>
        <w:rPr>
          <w:rFonts w:ascii="仿宋_GB2312" w:eastAsia="仿宋_GB2312"/>
          <w:bCs/>
          <w:sz w:val="28"/>
          <w:szCs w:val="28"/>
        </w:rPr>
      </w:pPr>
      <w:r>
        <w:rPr>
          <w:rFonts w:hint="eastAsia" w:ascii="仿宋_GB2312" w:eastAsia="仿宋_GB2312"/>
          <w:sz w:val="28"/>
          <w:szCs w:val="28"/>
        </w:rPr>
        <w:t>推动习近平新时代中国特色社会主义思想进教材进课程进头脑，将思政教育融入公共基础课和专业课程中，落实立德树人根本任务。</w:t>
      </w:r>
    </w:p>
    <w:p>
      <w:pPr>
        <w:snapToGrid w:val="0"/>
        <w:spacing w:beforeLines="0" w:line="360" w:lineRule="auto"/>
        <w:ind w:firstLine="551" w:firstLineChars="196"/>
        <w:rPr>
          <w:rFonts w:ascii="仿宋_GB2312" w:eastAsia="仿宋_GB2312"/>
          <w:b/>
        </w:rPr>
      </w:pPr>
      <w:r>
        <w:rPr>
          <w:rFonts w:hint="eastAsia" w:ascii="仿宋_GB2312" w:eastAsia="仿宋_GB2312" w:cs="仿宋_GB2312"/>
          <w:b/>
        </w:rPr>
        <w:t>（一）公共基础课</w:t>
      </w:r>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pPr>
        <w:snapToGrid w:val="0"/>
        <w:spacing w:beforeLines="0" w:line="360" w:lineRule="auto"/>
        <w:ind w:firstLine="562" w:firstLineChars="200"/>
        <w:rPr>
          <w:rFonts w:ascii="仿宋_GB2312" w:eastAsia="仿宋_GB2312"/>
          <w:b/>
        </w:rPr>
      </w:pPr>
      <w:r>
        <w:rPr>
          <w:rFonts w:hint="eastAsia" w:ascii="仿宋_GB2312" w:eastAsia="仿宋_GB2312" w:cs="仿宋_GB2312"/>
          <w:b/>
        </w:rPr>
        <w:t>（二）专业技能课</w:t>
      </w:r>
    </w:p>
    <w:p>
      <w:pPr>
        <w:snapToGrid w:val="0"/>
        <w:spacing w:beforeLines="0" w:line="360" w:lineRule="auto"/>
        <w:ind w:firstLine="560" w:firstLineChars="200"/>
        <w:rPr>
          <w:rFonts w:ascii="仿宋_GB2312" w:hAnsi="仿宋" w:eastAsia="仿宋_GB2312" w:cs="仿宋_GB2312"/>
        </w:rPr>
      </w:pPr>
      <w:r>
        <w:rPr>
          <w:rFonts w:hint="eastAsia" w:ascii="仿宋_GB2312" w:hAnsi="仿宋" w:eastAsia="仿宋_GB2312" w:cs="仿宋_GB2312"/>
        </w:rPr>
        <w:t>专业技能课的教学要体现现代职业教育理念，以具有代表性的汽车运用与维修典型工作任务为载体，以课程知识、能力、素质目标设计教学项目和任务，以汽车机电维修、汽车维修业务接待等的实际工作流程展开教学，贴近汽车运用与维修实际，“教、学、做”相结合，突出技能培养。</w:t>
      </w:r>
    </w:p>
    <w:p>
      <w:pPr>
        <w:widowControl/>
        <w:spacing w:beforeLines="0" w:line="360" w:lineRule="auto"/>
        <w:ind w:firstLine="643" w:firstLineChars="200"/>
        <w:rPr>
          <w:rFonts w:ascii="仿宋_GB2312" w:hAnsi="宋体" w:eastAsia="仿宋_GB2312"/>
          <w:b/>
          <w:bCs/>
          <w:kern w:val="0"/>
          <w:sz w:val="21"/>
          <w:szCs w:val="21"/>
        </w:rPr>
      </w:pPr>
      <w:bookmarkStart w:id="41" w:name="_Toc438974526"/>
      <w:r>
        <w:rPr>
          <w:rFonts w:hint="eastAsia" w:ascii="仿宋_GB2312" w:eastAsia="仿宋_GB2312" w:cs="仿宋_GB2312"/>
          <w:b/>
          <w:bCs/>
          <w:sz w:val="32"/>
          <w:szCs w:val="32"/>
        </w:rPr>
        <w:t>八、人才培养模式</w:t>
      </w:r>
      <w:bookmarkEnd w:id="38"/>
      <w:bookmarkEnd w:id="39"/>
      <w:bookmarkEnd w:id="40"/>
      <w:bookmarkEnd w:id="41"/>
    </w:p>
    <w:p>
      <w:pPr>
        <w:snapToGrid w:val="0"/>
        <w:spacing w:beforeLines="0" w:line="360" w:lineRule="auto"/>
        <w:ind w:firstLine="560" w:firstLineChars="200"/>
        <w:jc w:val="left"/>
        <w:rPr>
          <w:rFonts w:ascii="仿宋_GB2312" w:hAnsi="仿宋" w:eastAsia="仿宋_GB2312" w:cs="仿宋_GB2312"/>
        </w:rPr>
      </w:pPr>
      <w:bookmarkStart w:id="42" w:name="_Toc421211152"/>
      <w:bookmarkStart w:id="43" w:name="_Toc423458254"/>
      <w:r>
        <w:rPr>
          <w:rFonts w:hint="eastAsia" w:ascii="仿宋_GB2312" w:hAnsi="仿宋" w:eastAsia="仿宋_GB2312" w:cs="仿宋_GB2312"/>
        </w:rPr>
        <w:t>汽车运用与维修专业在开展示范校重点专业建设过程中，主动对</w:t>
      </w:r>
      <w:r>
        <w:rPr>
          <w:rFonts w:hint="eastAsia" w:ascii="仿宋_GB2312" w:hAnsi="仿宋" w:eastAsia="仿宋_GB2312" w:cs="仿宋_GB2312"/>
        </w:rPr>
        <w:drawing>
          <wp:inline distT="0" distB="0" distL="0" distR="0">
            <wp:extent cx="4581525" cy="2419350"/>
            <wp:effectExtent l="0" t="76200" r="0" b="57150"/>
            <wp:docPr id="3" name="图示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pPr>
        <w:snapToGrid w:val="0"/>
        <w:spacing w:beforeLines="0" w:line="360" w:lineRule="auto"/>
        <w:ind w:firstLine="560" w:firstLineChars="200"/>
        <w:jc w:val="left"/>
        <w:rPr>
          <w:rFonts w:ascii="仿宋_GB2312" w:hAnsi="仿宋" w:eastAsia="仿宋_GB2312" w:cs="仿宋_GB2312"/>
        </w:rPr>
      </w:pPr>
      <w:r>
        <w:rPr>
          <w:rFonts w:ascii="仿宋_GB2312" w:hAnsi="仿宋" w:eastAsia="仿宋_GB2312" w:cs="仿宋_GB2312"/>
        </w:rPr>
        <mc:AlternateContent>
          <mc:Choice Requires="wpg">
            <w:drawing>
              <wp:anchor distT="0" distB="0" distL="114300" distR="114300" simplePos="0" relativeHeight="251659264" behindDoc="0" locked="0" layoutInCell="1" allowOverlap="1">
                <wp:simplePos x="0" y="0"/>
                <wp:positionH relativeFrom="column">
                  <wp:posOffset>437515</wp:posOffset>
                </wp:positionH>
                <wp:positionV relativeFrom="paragraph">
                  <wp:posOffset>-215265</wp:posOffset>
                </wp:positionV>
                <wp:extent cx="3783965" cy="1313815"/>
                <wp:effectExtent l="6985" t="136525" r="19050" b="26035"/>
                <wp:wrapNone/>
                <wp:docPr id="4" name="Group 14"/>
                <wp:cNvGraphicFramePr/>
                <a:graphic xmlns:a="http://schemas.openxmlformats.org/drawingml/2006/main">
                  <a:graphicData uri="http://schemas.microsoft.com/office/word/2010/wordprocessingGroup">
                    <wpg:wgp>
                      <wpg:cNvGrpSpPr/>
                      <wpg:grpSpPr>
                        <a:xfrm>
                          <a:off x="0" y="0"/>
                          <a:ext cx="3783965" cy="1313815"/>
                          <a:chOff x="2486" y="5213"/>
                          <a:chExt cx="5959" cy="2069"/>
                        </a:xfrm>
                      </wpg:grpSpPr>
                      <wpg:grpSp>
                        <wpg:cNvPr id="5" name="Group 12"/>
                        <wpg:cNvGrpSpPr/>
                        <wpg:grpSpPr>
                          <a:xfrm>
                            <a:off x="2486" y="5949"/>
                            <a:ext cx="2416" cy="1333"/>
                            <a:chOff x="2486" y="5949"/>
                            <a:chExt cx="2416" cy="1333"/>
                          </a:xfrm>
                        </wpg:grpSpPr>
                        <wps:wsp>
                          <wps:cNvPr id="6" name="AutoShape 9"/>
                          <wps:cNvSpPr>
                            <a:spLocks noChangeArrowheads="1"/>
                          </wps:cNvSpPr>
                          <wps:spPr bwMode="auto">
                            <a:xfrm>
                              <a:off x="2486" y="5949"/>
                              <a:ext cx="2416" cy="1333"/>
                            </a:xfrm>
                            <a:prstGeom prst="horizontalScroll">
                              <a:avLst>
                                <a:gd name="adj" fmla="val 12500"/>
                              </a:avLst>
                            </a:prstGeom>
                            <a:solidFill>
                              <a:srgbClr val="4F81BD"/>
                            </a:solidFill>
                            <a:ln>
                              <a:noFill/>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7" name="Text Box 10"/>
                          <wps:cNvSpPr txBox="1">
                            <a:spLocks noChangeArrowheads="1"/>
                          </wps:cNvSpPr>
                          <wps:spPr bwMode="auto">
                            <a:xfrm>
                              <a:off x="2895" y="6270"/>
                              <a:ext cx="1320" cy="706"/>
                            </a:xfrm>
                            <a:prstGeom prst="rect">
                              <a:avLst/>
                            </a:prstGeom>
                            <a:solidFill>
                              <a:srgbClr val="4F81BD"/>
                            </a:solidFill>
                            <a:ln>
                              <a:noFill/>
                            </a:ln>
                          </wps:spPr>
                          <wps:txbx>
                            <w:txbxContent>
                              <w:p>
                                <w:pPr>
                                  <w:spacing w:beforeLines="0" w:line="240" w:lineRule="auto"/>
                                  <w:rPr>
                                    <w:rFonts w:asciiTheme="minorEastAsia" w:hAnsiTheme="minorEastAsia" w:eastAsiaTheme="minorEastAsia"/>
                                    <w:b/>
                                    <w:color w:val="FFFFFF" w:themeColor="background1"/>
                                    <w:sz w:val="44"/>
                                    <w:szCs w:val="44"/>
                                    <w14:textFill>
                                      <w14:solidFill>
                                        <w14:schemeClr w14:val="bg1"/>
                                      </w14:solidFill>
                                    </w14:textFill>
                                  </w:rPr>
                                </w:pPr>
                                <w:r>
                                  <w:rPr>
                                    <w:rFonts w:hint="eastAsia" w:asciiTheme="minorEastAsia" w:hAnsiTheme="minorEastAsia" w:eastAsiaTheme="minorEastAsia"/>
                                    <w:b/>
                                    <w:color w:val="FFFFFF" w:themeColor="background1"/>
                                    <w:sz w:val="44"/>
                                    <w:szCs w:val="44"/>
                                    <w14:textFill>
                                      <w14:solidFill>
                                        <w14:schemeClr w14:val="bg1"/>
                                      </w14:solidFill>
                                    </w14:textFill>
                                  </w:rPr>
                                  <w:t>升学</w:t>
                                </w:r>
                              </w:p>
                            </w:txbxContent>
                          </wps:txbx>
                          <wps:bodyPr rot="0" vert="horz" wrap="square" lIns="91440" tIns="45720" rIns="91440" bIns="45720" anchor="t" anchorCtr="0" upright="1">
                            <a:noAutofit/>
                          </wps:bodyPr>
                        </wps:wsp>
                      </wpg:grpSp>
                      <wps:wsp>
                        <wps:cNvPr id="8" name="AutoShape 3"/>
                        <wps:cNvSpPr>
                          <a:spLocks noChangeArrowheads="1"/>
                        </wps:cNvSpPr>
                        <wps:spPr bwMode="auto">
                          <a:xfrm rot="8538626">
                            <a:off x="3723" y="5311"/>
                            <a:ext cx="651" cy="506"/>
                          </a:xfrm>
                          <a:prstGeom prst="chevron">
                            <a:avLst>
                              <a:gd name="adj" fmla="val 32164"/>
                            </a:avLst>
                          </a:prstGeom>
                          <a:gradFill rotWithShape="0">
                            <a:gsLst>
                              <a:gs pos="0">
                                <a:srgbClr val="CCE8CF"/>
                              </a:gs>
                              <a:gs pos="100000">
                                <a:srgbClr val="999999"/>
                              </a:gs>
                            </a:gsLst>
                            <a:lin ang="5400000" scaled="1"/>
                          </a:gradFill>
                          <a:ln w="12700">
                            <a:solidFill>
                              <a:srgbClr val="666666"/>
                            </a:solidFill>
                            <a:miter lim="800000"/>
                          </a:ln>
                          <a:effectLst>
                            <a:outerShdw dist="28398" dir="3806097" algn="ctr" rotWithShape="0">
                              <a:srgbClr val="43954C">
                                <a:alpha val="50000"/>
                              </a:srgbClr>
                            </a:outerShdw>
                          </a:effectLst>
                        </wps:spPr>
                        <wps:bodyPr rot="0" vert="horz" wrap="square" lIns="91440" tIns="45720" rIns="91440" bIns="45720" anchor="t" anchorCtr="0" upright="1">
                          <a:noAutofit/>
                        </wps:bodyPr>
                      </wps:wsp>
                      <wps:wsp>
                        <wps:cNvPr id="9" name="AutoShape 4"/>
                        <wps:cNvSpPr>
                          <a:spLocks noChangeArrowheads="1"/>
                        </wps:cNvSpPr>
                        <wps:spPr bwMode="auto">
                          <a:xfrm rot="2648654">
                            <a:off x="6353" y="5213"/>
                            <a:ext cx="707" cy="506"/>
                          </a:xfrm>
                          <a:prstGeom prst="chevron">
                            <a:avLst>
                              <a:gd name="adj" fmla="val 34931"/>
                            </a:avLst>
                          </a:prstGeom>
                          <a:gradFill rotWithShape="0">
                            <a:gsLst>
                              <a:gs pos="0">
                                <a:srgbClr val="CCE8CF"/>
                              </a:gs>
                              <a:gs pos="100000">
                                <a:srgbClr val="999999"/>
                              </a:gs>
                            </a:gsLst>
                            <a:lin ang="5400000" scaled="1"/>
                          </a:gradFill>
                          <a:ln w="12700">
                            <a:solidFill>
                              <a:srgbClr val="666666"/>
                            </a:solidFill>
                            <a:miter lim="800000"/>
                          </a:ln>
                          <a:effectLst>
                            <a:outerShdw dist="28398" dir="3806097" algn="ctr" rotWithShape="0">
                              <a:srgbClr val="43954C">
                                <a:alpha val="50000"/>
                              </a:srgbClr>
                            </a:outerShdw>
                          </a:effectLst>
                        </wps:spPr>
                        <wps:bodyPr rot="0" vert="horz" wrap="square" lIns="91440" tIns="45720" rIns="91440" bIns="45720" anchor="t" anchorCtr="0" upright="1">
                          <a:noAutofit/>
                        </wps:bodyPr>
                      </wps:wsp>
                      <wps:wsp>
                        <wps:cNvPr id="10" name="AutoShape 6"/>
                        <wps:cNvSpPr>
                          <a:spLocks noChangeArrowheads="1"/>
                        </wps:cNvSpPr>
                        <wps:spPr bwMode="auto">
                          <a:xfrm>
                            <a:off x="6029" y="5949"/>
                            <a:ext cx="2416" cy="1333"/>
                          </a:xfrm>
                          <a:prstGeom prst="horizontalScroll">
                            <a:avLst>
                              <a:gd name="adj" fmla="val 12500"/>
                            </a:avLst>
                          </a:prstGeom>
                          <a:solidFill>
                            <a:srgbClr val="4F81BD"/>
                          </a:solidFill>
                          <a:ln>
                            <a:noFill/>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11" name="Text Box 7"/>
                        <wps:cNvSpPr txBox="1">
                          <a:spLocks noChangeArrowheads="1"/>
                        </wps:cNvSpPr>
                        <wps:spPr bwMode="auto">
                          <a:xfrm>
                            <a:off x="6600" y="6270"/>
                            <a:ext cx="1410" cy="706"/>
                          </a:xfrm>
                          <a:prstGeom prst="rect">
                            <a:avLst/>
                          </a:prstGeom>
                          <a:solidFill>
                            <a:srgbClr val="4F81BD"/>
                          </a:solidFill>
                          <a:ln>
                            <a:noFill/>
                          </a:ln>
                        </wps:spPr>
                        <wps:txbx>
                          <w:txbxContent>
                            <w:p>
                              <w:pPr>
                                <w:spacing w:beforeLines="0" w:line="240" w:lineRule="auto"/>
                                <w:rPr>
                                  <w:rFonts w:asciiTheme="minorEastAsia" w:hAnsiTheme="minorEastAsia" w:eastAsiaTheme="minorEastAsia"/>
                                  <w:b/>
                                  <w:color w:val="FFFFFF" w:themeColor="background1"/>
                                  <w:sz w:val="44"/>
                                  <w:szCs w:val="44"/>
                                  <w14:textFill>
                                    <w14:solidFill>
                                      <w14:schemeClr w14:val="bg1"/>
                                    </w14:solidFill>
                                  </w14:textFill>
                                </w:rPr>
                              </w:pPr>
                              <w:r>
                                <w:rPr>
                                  <w:rFonts w:hint="eastAsia" w:asciiTheme="minorEastAsia" w:hAnsiTheme="minorEastAsia" w:eastAsiaTheme="minorEastAsia"/>
                                  <w:b/>
                                  <w:color w:val="FFFFFF" w:themeColor="background1"/>
                                  <w:sz w:val="44"/>
                                  <w:szCs w:val="44"/>
                                  <w14:textFill>
                                    <w14:solidFill>
                                      <w14:schemeClr w14:val="bg1"/>
                                    </w14:solidFill>
                                  </w14:textFill>
                                </w:rPr>
                                <w:t>就业</w:t>
                              </w:r>
                            </w:p>
                          </w:txbxContent>
                        </wps:txbx>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34.45pt;margin-top:-16.95pt;height:103.45pt;width:297.95pt;z-index:251659264;mso-width-relative:page;mso-height-relative:page;" coordorigin="2486,5213" coordsize="5959,2069" o:gfxdata="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">
                <o:lock v:ext="edit" aspectratio="f"/>
                <v:group id="Group 12" o:spid="_x0000_s1026" o:spt="203" style="position:absolute;left:2486;top:5949;height:1333;width:2416;" coordorigin="2486,5949" coordsize="2416,1333"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AutoShape 9" o:spid="_x0000_s1026" o:spt="98" type="#_x0000_t98" style="position:absolute;left:2486;top:5949;height:1333;width:2416;" fillcolor="#4F81BD" filled="t" stroked="f" coordsize="21600,21600" o:gfxdata="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uKhWvQAA&#10;ANoAAAAPAAAAAAAAAAEAIAAAACIAAABkcnMvZG93bnJldi54bWxQSwECFAAUAAAACACHTuJAMy8F&#10;njsAAAA5AAAAEAAAAAAAAAABACAAAAAMAQAAZHJzL3NoYXBleG1sLnhtbFBLBQYAAAAABgAGAFsB&#10;AAC2AwAAAAA=&#10;" adj="2700">
                    <v:fill on="t" focussize="0,0"/>
                    <v:stroke on="f"/>
                    <v:imagedata o:title=""/>
                    <o:lock v:ext="edit" aspectratio="f"/>
                    <v:shadow on="t" color="#243F60" opacity="32768f" offset="1pt,2pt" origin="0f,0f" matrix="65536f,0f,0f,65536f"/>
                  </v:shape>
                  <v:shape id="Text Box 10" o:spid="_x0000_s1026" o:spt="202" type="#_x0000_t202" style="position:absolute;left:2895;top:6270;height:706;width:1320;" fillcolor="#4F81BD" filled="t" stroked="f" coordsize="21600,21600" o:gfxdata="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hmesq2AAAA2g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spacing w:beforeLines="0" w:line="240" w:lineRule="auto"/>
                            <w:rPr>
                              <w:rFonts w:asciiTheme="minorEastAsia" w:hAnsiTheme="minorEastAsia" w:eastAsiaTheme="minorEastAsia"/>
                              <w:b/>
                              <w:color w:val="FFFFFF" w:themeColor="background1"/>
                              <w:sz w:val="44"/>
                              <w:szCs w:val="44"/>
                              <w14:textFill>
                                <w14:solidFill>
                                  <w14:schemeClr w14:val="bg1"/>
                                </w14:solidFill>
                              </w14:textFill>
                            </w:rPr>
                          </w:pPr>
                          <w:r>
                            <w:rPr>
                              <w:rFonts w:hint="eastAsia" w:asciiTheme="minorEastAsia" w:hAnsiTheme="minorEastAsia" w:eastAsiaTheme="minorEastAsia"/>
                              <w:b/>
                              <w:color w:val="FFFFFF" w:themeColor="background1"/>
                              <w:sz w:val="44"/>
                              <w:szCs w:val="44"/>
                              <w14:textFill>
                                <w14:solidFill>
                                  <w14:schemeClr w14:val="bg1"/>
                                </w14:solidFill>
                              </w14:textFill>
                            </w:rPr>
                            <w:t>升学</w:t>
                          </w:r>
                        </w:p>
                      </w:txbxContent>
                    </v:textbox>
                  </v:shape>
                </v:group>
                <v:shape id="AutoShape 3" o:spid="_x0000_s1026" o:spt="55" type="#_x0000_t55" style="position:absolute;left:3723;top:5311;height:506;width:651;rotation:9326457f;" fillcolor="#CCE8CF" filled="t" stroked="t" coordsize="21600,21600" o:gfxdata="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x2Vz65AAAA2gAA&#10;AA8AAAAAAAAAAQAgAAAAIgAAAGRycy9kb3ducmV2LnhtbFBLAQIUABQAAAAIAIdO4kAzLwWeOwAA&#10;ADkAAAAQAAAAAAAAAAEAIAAAAAgBAABkcnMvc2hhcGV4bWwueG1sUEsFBgAAAAAGAAYAWwEAALID&#10;AAAAAA==&#10;" adj="16201">
                  <v:fill type="gradient" on="t" color2="#999999" focus="100%" focussize="0,0"/>
                  <v:stroke weight="1pt" color="#666666" miterlimit="8" joinstyle="miter"/>
                  <v:imagedata o:title=""/>
                  <o:lock v:ext="edit" aspectratio="f"/>
                  <v:shadow on="t" color="#43954C" opacity="32768f" offset="1pt,2pt" origin="0f,0f" matrix="65536f,0f,0f,65536f"/>
                </v:shape>
                <v:shape id="AutoShape 4" o:spid="_x0000_s1026" o:spt="55" type="#_x0000_t55" style="position:absolute;left:6353;top:5213;height:506;width:707;rotation:2893036f;" fillcolor="#CCE8CF" filled="t" stroked="t" coordsize="21600,21600" o:gfxdata="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yTOq7sAAADa&#10;AAAADwAAAAAAAAABACAAAAAiAAAAZHJzL2Rvd25yZXYueG1sUEsBAhQAFAAAAAgAh07iQDMvBZ47&#10;AAAAOQAAABAAAAAAAAAAAQAgAAAACgEAAGRycy9zaGFwZXhtbC54bWxQSwUGAAAAAAYABgBbAQAA&#10;tAMAAAAA&#10;" adj="16200">
                  <v:fill type="gradient" on="t" color2="#999999" focus="100%" focussize="0,0"/>
                  <v:stroke weight="1pt" color="#666666" miterlimit="8" joinstyle="miter"/>
                  <v:imagedata o:title=""/>
                  <o:lock v:ext="edit" aspectratio="f"/>
                  <v:shadow on="t" color="#43954C" opacity="32768f" offset="1pt,2pt" origin="0f,0f" matrix="65536f,0f,0f,65536f"/>
                </v:shape>
                <v:shape id="AutoShape 6" o:spid="_x0000_s1026" o:spt="98" type="#_x0000_t98" style="position:absolute;left:6029;top:5949;height:1333;width:2416;" fillcolor="#4F81BD" filled="t" stroked="f" coordsize="21600,21600" o:gfxdata="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XBEAvQAA&#10;ANsAAAAPAAAAAAAAAAEAIAAAACIAAABkcnMvZG93bnJldi54bWxQSwECFAAUAAAACACHTuJAMy8F&#10;njsAAAA5AAAAEAAAAAAAAAABACAAAAAMAQAAZHJzL3NoYXBleG1sLnhtbFBLBQYAAAAABgAGAFsB&#10;AAC2AwAAAAA=&#10;" adj="2700">
                  <v:fill on="t" focussize="0,0"/>
                  <v:stroke on="f"/>
                  <v:imagedata o:title=""/>
                  <o:lock v:ext="edit" aspectratio="f"/>
                  <v:shadow on="t" color="#243F60" opacity="32768f" offset="1pt,2pt" origin="0f,0f" matrix="65536f,0f,0f,65536f"/>
                </v:shape>
                <v:shape id="Text Box 7" o:spid="_x0000_s1026" o:spt="202" type="#_x0000_t202" style="position:absolute;left:6600;top:6270;height:706;width:1410;" fillcolor="#4F81BD" filled="t" stroked="f" coordsize="21600,21600" o:gfxdata="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4tsG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spacing w:beforeLines="0" w:line="240" w:lineRule="auto"/>
                          <w:rPr>
                            <w:rFonts w:asciiTheme="minorEastAsia" w:hAnsiTheme="minorEastAsia" w:eastAsiaTheme="minorEastAsia"/>
                            <w:b/>
                            <w:color w:val="FFFFFF" w:themeColor="background1"/>
                            <w:sz w:val="44"/>
                            <w:szCs w:val="44"/>
                            <w14:textFill>
                              <w14:solidFill>
                                <w14:schemeClr w14:val="bg1"/>
                              </w14:solidFill>
                            </w14:textFill>
                          </w:rPr>
                        </w:pPr>
                        <w:r>
                          <w:rPr>
                            <w:rFonts w:hint="eastAsia" w:asciiTheme="minorEastAsia" w:hAnsiTheme="minorEastAsia" w:eastAsiaTheme="minorEastAsia"/>
                            <w:b/>
                            <w:color w:val="FFFFFF" w:themeColor="background1"/>
                            <w:sz w:val="44"/>
                            <w:szCs w:val="44"/>
                            <w14:textFill>
                              <w14:solidFill>
                                <w14:schemeClr w14:val="bg1"/>
                              </w14:solidFill>
                            </w14:textFill>
                          </w:rPr>
                          <w:t>就业</w:t>
                        </w:r>
                      </w:p>
                    </w:txbxContent>
                  </v:textbox>
                </v:shape>
              </v:group>
            </w:pict>
          </mc:Fallback>
        </mc:AlternateContent>
      </w:r>
    </w:p>
    <w:p>
      <w:pPr>
        <w:snapToGrid w:val="0"/>
        <w:spacing w:beforeLines="0" w:line="360" w:lineRule="auto"/>
        <w:ind w:firstLine="560" w:firstLineChars="200"/>
        <w:jc w:val="left"/>
        <w:rPr>
          <w:rFonts w:ascii="仿宋_GB2312" w:hAnsi="仿宋" w:eastAsia="仿宋_GB2312" w:cs="仿宋_GB2312"/>
        </w:rPr>
      </w:pPr>
    </w:p>
    <w:p>
      <w:pPr>
        <w:snapToGrid w:val="0"/>
        <w:spacing w:beforeLines="0" w:line="360" w:lineRule="auto"/>
        <w:ind w:firstLine="560" w:firstLineChars="200"/>
        <w:jc w:val="left"/>
        <w:rPr>
          <w:rFonts w:ascii="仿宋_GB2312" w:hAnsi="仿宋" w:eastAsia="仿宋_GB2312" w:cs="仿宋_GB2312"/>
        </w:rPr>
      </w:pPr>
    </w:p>
    <w:p>
      <w:pPr>
        <w:snapToGrid w:val="0"/>
        <w:spacing w:beforeLines="0" w:line="360" w:lineRule="auto"/>
        <w:ind w:firstLine="560" w:firstLineChars="200"/>
        <w:jc w:val="left"/>
        <w:rPr>
          <w:rFonts w:ascii="仿宋_GB2312" w:hAnsi="仿宋" w:eastAsia="仿宋_GB2312" w:cs="仿宋_GB2312"/>
        </w:rPr>
      </w:pPr>
    </w:p>
    <w:p>
      <w:pPr>
        <w:snapToGrid w:val="0"/>
        <w:spacing w:beforeLines="0" w:line="360" w:lineRule="auto"/>
        <w:jc w:val="left"/>
        <w:rPr>
          <w:rFonts w:ascii="仿宋_GB2312" w:hAnsi="仿宋" w:eastAsia="仿宋_GB2312" w:cs="仿宋_GB2312"/>
        </w:rPr>
      </w:pPr>
      <w:r>
        <w:rPr>
          <w:rFonts w:hint="eastAsia" w:ascii="仿宋_GB2312" w:hAnsi="仿宋" w:eastAsia="仿宋_GB2312" w:cs="仿宋_GB2312"/>
        </w:rPr>
        <w:t>接阳江地区经济社会发展需求，围绕阳江经济社会发展和汽车行业职业岗位能力要求，确定专业培养目标</w:t>
      </w:r>
      <w:r>
        <w:rPr>
          <w:rFonts w:hint="eastAsia" w:ascii="仿宋_GB2312" w:hAnsi="宋体" w:eastAsia="仿宋_GB2312" w:cs="方正仿宋_GBK"/>
          <w:kern w:val="0"/>
        </w:rPr>
        <w:t>、</w:t>
      </w:r>
      <w:r>
        <w:rPr>
          <w:rFonts w:hint="eastAsia" w:ascii="仿宋_GB2312" w:hAnsi="仿宋" w:eastAsia="仿宋_GB2312" w:cs="仿宋_GB2312"/>
        </w:rPr>
        <w:t>课程设置和教学内容，探索并构建起“123工学结合”人才培养模式及管理制度和运作机制。</w:t>
      </w:r>
    </w:p>
    <w:p>
      <w:pPr>
        <w:snapToGrid w:val="0"/>
        <w:spacing w:beforeLines="0" w:line="360" w:lineRule="auto"/>
        <w:ind w:firstLine="560" w:firstLineChars="200"/>
        <w:jc w:val="left"/>
        <w:rPr>
          <w:rFonts w:ascii="仿宋_GB2312" w:hAnsi="仿宋" w:eastAsia="仿宋_GB2312"/>
        </w:rPr>
      </w:pPr>
      <w:r>
        <w:rPr>
          <w:rFonts w:hint="eastAsia" w:ascii="仿宋_GB2312" w:hAnsi="仿宋" w:eastAsia="仿宋_GB2312" w:cs="仿宋_GB2312"/>
        </w:rPr>
        <w:t>“123工学结合”人才培养模式：以校企合作为平台，以促进就业为导向，以培养能力为本位，以理实一体为手段，开辟育人新途径。</w:t>
      </w:r>
    </w:p>
    <w:p>
      <w:pPr>
        <w:snapToGrid w:val="0"/>
        <w:spacing w:beforeLines="0" w:line="360" w:lineRule="auto"/>
        <w:ind w:firstLine="560" w:firstLineChars="200"/>
        <w:jc w:val="left"/>
        <w:rPr>
          <w:rFonts w:ascii="仿宋_GB2312" w:hAnsi="仿宋" w:eastAsia="仿宋_GB2312"/>
        </w:rPr>
      </w:pPr>
      <w:r>
        <w:rPr>
          <w:rFonts w:hint="eastAsia" w:ascii="仿宋_GB2312" w:hAnsi="仿宋" w:eastAsia="仿宋_GB2312" w:cs="仿宋_GB2312"/>
        </w:rPr>
        <w:t>“1”——1条培养主线：提高学生综合职业能力</w:t>
      </w:r>
    </w:p>
    <w:p>
      <w:pPr>
        <w:snapToGrid w:val="0"/>
        <w:spacing w:beforeLines="0" w:line="360" w:lineRule="auto"/>
        <w:ind w:firstLine="560" w:firstLineChars="200"/>
        <w:jc w:val="left"/>
        <w:rPr>
          <w:rFonts w:ascii="仿宋_GB2312" w:hAnsi="仿宋" w:eastAsia="仿宋_GB2312"/>
        </w:rPr>
      </w:pPr>
      <w:r>
        <w:rPr>
          <w:rFonts w:hint="eastAsia" w:ascii="仿宋_GB2312" w:hAnsi="仿宋" w:eastAsia="仿宋_GB2312" w:cs="仿宋_GB2312"/>
        </w:rPr>
        <w:t>“2”——2个毕业方向：升学、就业</w:t>
      </w:r>
    </w:p>
    <w:p>
      <w:pPr>
        <w:snapToGrid w:val="0"/>
        <w:spacing w:beforeLines="0" w:line="360" w:lineRule="auto"/>
        <w:ind w:firstLine="560" w:firstLineChars="200"/>
        <w:jc w:val="left"/>
        <w:rPr>
          <w:rFonts w:ascii="仿宋_GB2312" w:hAnsi="仿宋" w:eastAsia="仿宋_GB2312" w:cs="仿宋_GB2312"/>
        </w:rPr>
      </w:pPr>
      <w:r>
        <w:rPr>
          <w:rFonts w:hint="eastAsia" w:ascii="仿宋_GB2312" w:hAnsi="仿宋" w:eastAsia="仿宋_GB2312" w:cs="仿宋_GB2312"/>
        </w:rPr>
        <w:t>“3”——3个一体化：教学内容与岗位需求一体化、课程标准与职业标准一体化、理论教学与实践教学一体化。</w:t>
      </w:r>
    </w:p>
    <w:p>
      <w:pPr>
        <w:snapToGrid w:val="0"/>
        <w:spacing w:beforeLines="0" w:line="360" w:lineRule="auto"/>
        <w:ind w:firstLine="560" w:firstLineChars="200"/>
        <w:jc w:val="left"/>
        <w:rPr>
          <w:rFonts w:ascii="仿宋_GB2312" w:eastAsia="仿宋_GB2312"/>
        </w:rPr>
      </w:pPr>
      <w:r>
        <w:rPr>
          <w:rFonts w:hint="eastAsia" w:ascii="仿宋_GB2312" w:eastAsia="仿宋_GB2312"/>
        </w:rPr>
        <w:t>该人才培养模式充分体现了理实相融、多维发展的汽修专业人才培养思路，使学生能够将所学专业知识与生产实际相结合，实现在校期间与企业、与职业岗位的零距离接触，促使学生树立起职业理想，养成良好的职业道德，练就过硬的职业技能，从根本上提高人才培养质量。</w:t>
      </w:r>
    </w:p>
    <w:bookmarkEnd w:id="42"/>
    <w:bookmarkEnd w:id="43"/>
    <w:p>
      <w:pPr>
        <w:pStyle w:val="45"/>
        <w:snapToGrid w:val="0"/>
        <w:spacing w:line="360" w:lineRule="auto"/>
        <w:ind w:firstLine="643"/>
        <w:outlineLvl w:val="0"/>
        <w:rPr>
          <w:rFonts w:ascii="仿宋_GB2312" w:eastAsia="仿宋_GB2312"/>
          <w:b/>
          <w:bCs/>
          <w:sz w:val="32"/>
          <w:szCs w:val="32"/>
        </w:rPr>
      </w:pPr>
      <w:bookmarkStart w:id="44" w:name="_Toc423458256"/>
      <w:bookmarkStart w:id="45" w:name="_Toc438974527"/>
      <w:bookmarkStart w:id="46" w:name="_Toc437332764"/>
      <w:bookmarkStart w:id="47" w:name="_Toc421211153"/>
      <w:r>
        <w:rPr>
          <w:rFonts w:hint="eastAsia" w:ascii="仿宋_GB2312" w:eastAsia="仿宋_GB2312" w:cs="仿宋_GB2312"/>
          <w:b/>
          <w:bCs/>
          <w:sz w:val="32"/>
          <w:szCs w:val="32"/>
        </w:rPr>
        <w:t>九、课程设置及要求</w:t>
      </w:r>
      <w:bookmarkEnd w:id="44"/>
      <w:bookmarkEnd w:id="45"/>
      <w:bookmarkEnd w:id="46"/>
      <w:bookmarkEnd w:id="47"/>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本专业课程设置分为公共基础课和专业技能课。</w:t>
      </w:r>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公共基础课包括军训及入学教育、思政课、文化课、体育和健康、艺术、历史，以及其他自然科学和人文科学类基础课。</w:t>
      </w:r>
    </w:p>
    <w:p>
      <w:pPr>
        <w:snapToGrid w:val="0"/>
        <w:spacing w:beforeLines="0" w:line="360" w:lineRule="auto"/>
        <w:ind w:firstLine="560" w:firstLineChars="200"/>
        <w:rPr>
          <w:rFonts w:ascii="仿宋_GB2312" w:hAnsi="仿宋" w:eastAsia="仿宋_GB2312"/>
        </w:rPr>
      </w:pPr>
      <w:r>
        <w:rPr>
          <w:rFonts w:hint="eastAsia" w:ascii="仿宋_GB2312" w:hAnsi="仿宋" w:eastAsia="仿宋_GB2312" w:cs="仿宋_GB2312"/>
        </w:rPr>
        <w:t>专业技能课包括专业核心课，实习实训是专业技能课教学的重要内容，含专业实习、顶岗实习等多种形式。</w:t>
      </w:r>
    </w:p>
    <w:p>
      <w:pPr>
        <w:snapToGrid w:val="0"/>
        <w:spacing w:beforeLines="0" w:line="360" w:lineRule="auto"/>
        <w:ind w:firstLine="602" w:firstLineChars="200"/>
        <w:jc w:val="left"/>
        <w:outlineLvl w:val="1"/>
        <w:rPr>
          <w:rFonts w:ascii="仿宋_GB2312" w:eastAsia="仿宋_GB2312"/>
          <w:b/>
          <w:bCs/>
          <w:sz w:val="30"/>
          <w:szCs w:val="30"/>
        </w:rPr>
      </w:pPr>
      <w:bookmarkStart w:id="48" w:name="_Toc421211154"/>
      <w:bookmarkStart w:id="49" w:name="_Toc423458257"/>
      <w:bookmarkStart w:id="50" w:name="_Toc437332765"/>
      <w:bookmarkStart w:id="51" w:name="_Toc438974528"/>
      <w:r>
        <w:rPr>
          <w:rFonts w:hint="eastAsia" w:ascii="仿宋_GB2312" w:eastAsia="仿宋_GB2312" w:cs="仿宋_GB2312"/>
          <w:b/>
          <w:bCs/>
          <w:sz w:val="30"/>
          <w:szCs w:val="30"/>
        </w:rPr>
        <w:t>（一）公共基础课</w:t>
      </w:r>
      <w:bookmarkEnd w:id="48"/>
      <w:bookmarkEnd w:id="49"/>
      <w:bookmarkEnd w:id="50"/>
      <w:bookmarkEnd w:id="51"/>
    </w:p>
    <w:tbl>
      <w:tblPr>
        <w:tblStyle w:val="18"/>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94"/>
        <w:gridCol w:w="5047"/>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snapToGrid w:val="0"/>
              <w:spacing w:beforeLines="0" w:line="240" w:lineRule="auto"/>
              <w:jc w:val="center"/>
              <w:rPr>
                <w:rFonts w:ascii="仿宋_GB2312" w:eastAsia="仿宋_GB2312"/>
                <w:b/>
                <w:bCs/>
                <w:sz w:val="24"/>
                <w:szCs w:val="24"/>
              </w:rPr>
            </w:pPr>
            <w:r>
              <w:rPr>
                <w:rFonts w:hint="eastAsia" w:ascii="仿宋_GB2312" w:eastAsia="仿宋_GB2312" w:cs="仿宋_GB2312"/>
                <w:bCs/>
                <w:sz w:val="24"/>
                <w:szCs w:val="24"/>
              </w:rPr>
              <w:t>序号</w:t>
            </w:r>
          </w:p>
        </w:tc>
        <w:tc>
          <w:tcPr>
            <w:tcW w:w="1594" w:type="dxa"/>
          </w:tcPr>
          <w:p>
            <w:pPr>
              <w:snapToGrid w:val="0"/>
              <w:spacing w:beforeLines="0" w:line="240" w:lineRule="auto"/>
              <w:jc w:val="center"/>
              <w:rPr>
                <w:rFonts w:ascii="仿宋_GB2312" w:eastAsia="仿宋_GB2312"/>
                <w:b/>
                <w:bCs/>
                <w:sz w:val="24"/>
                <w:szCs w:val="24"/>
              </w:rPr>
            </w:pPr>
            <w:r>
              <w:rPr>
                <w:rFonts w:hint="eastAsia" w:ascii="仿宋_GB2312" w:eastAsia="仿宋_GB2312" w:cs="仿宋_GB2312"/>
                <w:bCs/>
                <w:sz w:val="24"/>
                <w:szCs w:val="24"/>
              </w:rPr>
              <w:t>课程名称</w:t>
            </w:r>
          </w:p>
        </w:tc>
        <w:tc>
          <w:tcPr>
            <w:tcW w:w="5047" w:type="dxa"/>
          </w:tcPr>
          <w:p>
            <w:pPr>
              <w:snapToGrid w:val="0"/>
              <w:spacing w:beforeLines="0" w:line="240" w:lineRule="auto"/>
              <w:jc w:val="center"/>
              <w:rPr>
                <w:rFonts w:ascii="仿宋_GB2312" w:eastAsia="仿宋_GB2312"/>
                <w:b/>
                <w:bCs/>
                <w:sz w:val="24"/>
                <w:szCs w:val="24"/>
              </w:rPr>
            </w:pPr>
            <w:r>
              <w:rPr>
                <w:rFonts w:hint="eastAsia" w:ascii="仿宋_GB2312" w:eastAsia="仿宋_GB2312" w:cs="仿宋_GB2312"/>
                <w:bCs/>
                <w:sz w:val="24"/>
                <w:szCs w:val="24"/>
              </w:rPr>
              <w:t>主要教学内容和要求</w:t>
            </w:r>
          </w:p>
        </w:tc>
        <w:tc>
          <w:tcPr>
            <w:tcW w:w="1296" w:type="dxa"/>
          </w:tcPr>
          <w:p>
            <w:pPr>
              <w:snapToGrid w:val="0"/>
              <w:spacing w:beforeLines="0" w:line="240" w:lineRule="auto"/>
              <w:jc w:val="center"/>
              <w:rPr>
                <w:rFonts w:ascii="仿宋_GB2312" w:eastAsia="仿宋_GB2312"/>
                <w:bCs/>
                <w:sz w:val="24"/>
                <w:szCs w:val="24"/>
              </w:rPr>
            </w:pPr>
            <w:r>
              <w:rPr>
                <w:rFonts w:hint="eastAsia" w:ascii="仿宋_GB2312" w:eastAsia="仿宋_GB2312" w:cs="仿宋_GB2312"/>
                <w:bCs/>
                <w:sz w:val="24"/>
                <w:szCs w:val="24"/>
              </w:rPr>
              <w:t>参考课时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军训及入学教育</w:t>
            </w:r>
          </w:p>
        </w:tc>
        <w:tc>
          <w:tcPr>
            <w:tcW w:w="5047" w:type="dxa"/>
          </w:tcPr>
          <w:p>
            <w:pPr>
              <w:spacing w:before="93"/>
              <w:rPr>
                <w:rFonts w:ascii="仿宋_GB2312" w:eastAsia="仿宋_GB2312"/>
                <w:sz w:val="21"/>
                <w:szCs w:val="21"/>
              </w:rPr>
            </w:pPr>
            <w:r>
              <w:rPr>
                <w:rFonts w:hint="eastAsia" w:ascii="仿宋_GB2312" w:eastAsia="仿宋_GB2312"/>
                <w:sz w:val="21"/>
                <w:szCs w:val="21"/>
              </w:rPr>
              <w:t xml:space="preserve">  依据中等职业学校军训及入学教育相关要求开设，并与专业实际和行业发展密切结合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2</w:t>
            </w:r>
          </w:p>
        </w:tc>
        <w:tc>
          <w:tcPr>
            <w:tcW w:w="1594" w:type="dxa"/>
            <w:vAlign w:val="center"/>
          </w:tcPr>
          <w:p>
            <w:pPr>
              <w:widowControl/>
              <w:spacing w:beforeLines="0" w:line="240" w:lineRule="auto"/>
              <w:jc w:val="center"/>
              <w:rPr>
                <w:rFonts w:ascii="Tahoma" w:hAnsi="Tahoma" w:eastAsia="宋体" w:cs="Tahoma"/>
                <w:color w:val="000000"/>
                <w:kern w:val="0"/>
                <w:sz w:val="22"/>
                <w:szCs w:val="22"/>
              </w:rPr>
            </w:pPr>
            <w:r>
              <w:rPr>
                <w:rFonts w:ascii="Tahoma" w:hAnsi="Tahoma" w:cs="Tahoma"/>
                <w:color w:val="000000"/>
                <w:sz w:val="22"/>
                <w:szCs w:val="22"/>
              </w:rPr>
              <w:t>习近平新时代读本</w:t>
            </w:r>
          </w:p>
        </w:tc>
        <w:tc>
          <w:tcPr>
            <w:tcW w:w="5047" w:type="dxa"/>
          </w:tcPr>
          <w:p>
            <w:pPr>
              <w:spacing w:before="93" w:line="240" w:lineRule="auto"/>
              <w:ind w:firstLine="420" w:firstLineChars="200"/>
              <w:rPr>
                <w:rFonts w:ascii="仿宋_GB2312" w:eastAsia="仿宋_GB2312"/>
                <w:sz w:val="21"/>
                <w:szCs w:val="21"/>
              </w:rPr>
            </w:pPr>
            <w:r>
              <w:rPr>
                <w:rFonts w:hint="eastAsia" w:ascii="仿宋_GB2312" w:eastAsia="仿宋_GB2312"/>
                <w:sz w:val="21"/>
                <w:szCs w:val="21"/>
              </w:rPr>
              <w:t>围绕学习习近平新时代中国特色社会主义思想这条主线，内容安排循序渐进、螺旋上升，较好实现了不同学段间的有机衔接。读本与统编思政课教材相互补充，构建起更为坚实的新时代铸魂育人教材体系。</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3</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中国特色社会主义</w:t>
            </w:r>
          </w:p>
        </w:tc>
        <w:tc>
          <w:tcPr>
            <w:tcW w:w="5047" w:type="dxa"/>
          </w:tcPr>
          <w:p>
            <w:pPr>
              <w:spacing w:before="93" w:line="240" w:lineRule="auto"/>
              <w:rPr>
                <w:rFonts w:ascii="仿宋_GB2312" w:eastAsia="仿宋_GB2312"/>
                <w:sz w:val="21"/>
                <w:szCs w:val="21"/>
              </w:rPr>
            </w:pPr>
            <w:r>
              <w:rPr>
                <w:rFonts w:hint="eastAsia" w:ascii="仿宋_GB2312" w:eastAsia="仿宋_GB2312"/>
                <w:sz w:val="21"/>
                <w:szCs w:val="21"/>
              </w:rPr>
              <w:t xml:space="preserve">  依据《中等职业学校思想政治课程标准》中国特色社会主义模块开设，并与专业实际和行业发展密切结合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4</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心理健康与职业生涯</w:t>
            </w:r>
          </w:p>
        </w:tc>
        <w:tc>
          <w:tcPr>
            <w:tcW w:w="5047" w:type="dxa"/>
          </w:tcPr>
          <w:p>
            <w:pPr>
              <w:spacing w:before="93"/>
              <w:rPr>
                <w:rFonts w:ascii="仿宋_GB2312" w:eastAsia="仿宋_GB2312"/>
                <w:sz w:val="21"/>
                <w:szCs w:val="21"/>
              </w:rPr>
            </w:pPr>
            <w:r>
              <w:rPr>
                <w:rFonts w:hint="eastAsia" w:ascii="仿宋_GB2312" w:eastAsia="仿宋_GB2312"/>
                <w:sz w:val="21"/>
                <w:szCs w:val="21"/>
              </w:rPr>
              <w:t>依据《中等职业学校思想政治课程标准》心理健康与职业生涯模块开设，并与专业实际和行业发展密切结合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5</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哲学与人生</w:t>
            </w:r>
          </w:p>
        </w:tc>
        <w:tc>
          <w:tcPr>
            <w:tcW w:w="5047" w:type="dxa"/>
          </w:tcPr>
          <w:p>
            <w:pPr>
              <w:spacing w:before="93"/>
              <w:rPr>
                <w:rFonts w:ascii="仿宋_GB2312" w:eastAsia="仿宋_GB2312"/>
                <w:sz w:val="21"/>
                <w:szCs w:val="21"/>
              </w:rPr>
            </w:pPr>
            <w:r>
              <w:rPr>
                <w:rFonts w:hint="eastAsia" w:ascii="仿宋_GB2312" w:eastAsia="仿宋_GB2312"/>
                <w:sz w:val="21"/>
                <w:szCs w:val="21"/>
              </w:rPr>
              <w:t>依据《中等职业学校思想政治课程标准》哲学与人生模块开设，并与专业实际和行业发展密切结合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6</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职业道德与法治</w:t>
            </w:r>
          </w:p>
        </w:tc>
        <w:tc>
          <w:tcPr>
            <w:tcW w:w="5047" w:type="dxa"/>
          </w:tcPr>
          <w:p>
            <w:pPr>
              <w:spacing w:before="93"/>
              <w:rPr>
                <w:rFonts w:ascii="仿宋_GB2312" w:eastAsia="仿宋_GB2312"/>
                <w:sz w:val="21"/>
                <w:szCs w:val="21"/>
              </w:rPr>
            </w:pPr>
            <w:r>
              <w:rPr>
                <w:rFonts w:hint="eastAsia" w:ascii="仿宋_GB2312" w:eastAsia="仿宋_GB2312"/>
                <w:sz w:val="21"/>
                <w:szCs w:val="21"/>
              </w:rPr>
              <w:t>依据《中等职业学校思想政治课程标准》职业道德与法治模块开设，并与专业实际和行业发展密切结合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6</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语文</w:t>
            </w:r>
          </w:p>
        </w:tc>
        <w:tc>
          <w:tcPr>
            <w:tcW w:w="5047" w:type="dxa"/>
          </w:tcPr>
          <w:p>
            <w:pPr>
              <w:spacing w:before="93"/>
              <w:rPr>
                <w:rFonts w:ascii="仿宋_GB2312" w:eastAsia="仿宋_GB2312"/>
                <w:sz w:val="21"/>
                <w:szCs w:val="21"/>
              </w:rPr>
            </w:pPr>
            <w:r>
              <w:rPr>
                <w:rFonts w:hint="eastAsia" w:ascii="仿宋_GB2312" w:eastAsia="仿宋_GB2312"/>
                <w:sz w:val="21"/>
                <w:szCs w:val="21"/>
              </w:rPr>
              <w:t xml:space="preserve">  依据《中等职业学校语文课程标准》开设，并与专业实际和行业发展密切结合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7</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数学</w:t>
            </w:r>
          </w:p>
        </w:tc>
        <w:tc>
          <w:tcPr>
            <w:tcW w:w="5047" w:type="dxa"/>
          </w:tcPr>
          <w:p>
            <w:pPr>
              <w:spacing w:before="93"/>
              <w:rPr>
                <w:rFonts w:ascii="仿宋_GB2312" w:eastAsia="仿宋_GB2312"/>
                <w:sz w:val="21"/>
                <w:szCs w:val="21"/>
              </w:rPr>
            </w:pPr>
            <w:r>
              <w:rPr>
                <w:rFonts w:hint="eastAsia" w:ascii="仿宋_GB2312" w:eastAsia="仿宋_GB2312"/>
                <w:sz w:val="21"/>
                <w:szCs w:val="21"/>
              </w:rPr>
              <w:t xml:space="preserve">  依据《中等职业学校数学课程标准》开设，并与专业实际和行业发展密切结合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1</w:t>
            </w:r>
            <w:r>
              <w:rPr>
                <w:rFonts w:hint="eastAsia" w:ascii="仿宋_GB2312" w:eastAsia="仿宋_GB2312"/>
                <w:sz w:val="21"/>
                <w:szCs w:val="21"/>
                <w:lang w:val="en-US" w:eastAsia="zh-CN"/>
              </w:rPr>
              <w:t>4</w:t>
            </w:r>
            <w:r>
              <w:rPr>
                <w:rFonts w:hint="eastAsia" w:ascii="仿宋_GB2312" w:eastAsia="仿宋_GB231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8</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英语</w:t>
            </w:r>
          </w:p>
        </w:tc>
        <w:tc>
          <w:tcPr>
            <w:tcW w:w="5047" w:type="dxa"/>
          </w:tcPr>
          <w:p>
            <w:pPr>
              <w:spacing w:before="93"/>
              <w:rPr>
                <w:rFonts w:ascii="仿宋_GB2312" w:eastAsia="仿宋_GB2312"/>
                <w:sz w:val="21"/>
                <w:szCs w:val="21"/>
              </w:rPr>
            </w:pPr>
            <w:r>
              <w:rPr>
                <w:rFonts w:hint="eastAsia" w:ascii="仿宋_GB2312" w:eastAsia="仿宋_GB2312"/>
                <w:sz w:val="21"/>
                <w:szCs w:val="21"/>
              </w:rPr>
              <w:t xml:space="preserve">  依据《中等职业学校英语课程标准》开设，并与专业实际和行业发展密切结合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9</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信息技术</w:t>
            </w:r>
          </w:p>
        </w:tc>
        <w:tc>
          <w:tcPr>
            <w:tcW w:w="5047" w:type="dxa"/>
          </w:tcPr>
          <w:p>
            <w:pPr>
              <w:spacing w:before="93"/>
              <w:rPr>
                <w:rFonts w:ascii="仿宋_GB2312" w:eastAsia="仿宋_GB2312"/>
                <w:sz w:val="21"/>
                <w:szCs w:val="21"/>
              </w:rPr>
            </w:pPr>
            <w:r>
              <w:rPr>
                <w:rFonts w:hint="eastAsia" w:ascii="仿宋_GB2312" w:eastAsia="仿宋_GB2312"/>
                <w:sz w:val="21"/>
                <w:szCs w:val="21"/>
              </w:rPr>
              <w:t xml:space="preserve">  依据《中等职业学校信息技术课程标准》开设，并与专业实际和行业发展密切结合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10</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体育与健康</w:t>
            </w:r>
          </w:p>
        </w:tc>
        <w:tc>
          <w:tcPr>
            <w:tcW w:w="5047" w:type="dxa"/>
          </w:tcPr>
          <w:p>
            <w:pPr>
              <w:spacing w:before="93"/>
              <w:rPr>
                <w:rFonts w:ascii="仿宋_GB2312" w:eastAsia="仿宋_GB2312"/>
                <w:sz w:val="21"/>
                <w:szCs w:val="21"/>
              </w:rPr>
            </w:pPr>
            <w:r>
              <w:rPr>
                <w:rFonts w:hint="eastAsia" w:ascii="仿宋_GB2312" w:eastAsia="仿宋_GB2312"/>
                <w:sz w:val="21"/>
                <w:szCs w:val="21"/>
              </w:rPr>
              <w:t xml:space="preserve">  依据《中等职业学校体育与健康课程标准》开设，并与专业实际和行业发展密切结合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11</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历史</w:t>
            </w:r>
          </w:p>
        </w:tc>
        <w:tc>
          <w:tcPr>
            <w:tcW w:w="5047" w:type="dxa"/>
          </w:tcPr>
          <w:p>
            <w:pPr>
              <w:spacing w:before="93"/>
              <w:rPr>
                <w:rFonts w:ascii="仿宋_GB2312" w:eastAsia="仿宋_GB2312"/>
                <w:sz w:val="21"/>
                <w:szCs w:val="21"/>
              </w:rPr>
            </w:pPr>
            <w:r>
              <w:rPr>
                <w:rFonts w:hint="eastAsia" w:ascii="仿宋_GB2312" w:eastAsia="仿宋_GB2312"/>
                <w:sz w:val="21"/>
                <w:szCs w:val="21"/>
              </w:rPr>
              <w:t xml:space="preserve">  依据《中等职业学校历史课程标准》开设，并与专业实际和行业发展密切结合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12</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公共艺术</w:t>
            </w:r>
          </w:p>
        </w:tc>
        <w:tc>
          <w:tcPr>
            <w:tcW w:w="5047" w:type="dxa"/>
          </w:tcPr>
          <w:p>
            <w:pPr>
              <w:spacing w:before="93"/>
              <w:rPr>
                <w:rFonts w:ascii="仿宋_GB2312" w:eastAsia="仿宋_GB2312"/>
                <w:sz w:val="21"/>
                <w:szCs w:val="21"/>
              </w:rPr>
            </w:pPr>
            <w:r>
              <w:rPr>
                <w:rFonts w:hint="eastAsia" w:ascii="仿宋_GB2312" w:eastAsia="仿宋_GB2312"/>
                <w:sz w:val="21"/>
                <w:szCs w:val="21"/>
              </w:rPr>
              <w:t xml:space="preserve">  依据《中等职业学校艺术课程标准》开设，并与专业实际和行业发展密切结合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13</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劳动与行为习惯养成教育</w:t>
            </w:r>
          </w:p>
        </w:tc>
        <w:tc>
          <w:tcPr>
            <w:tcW w:w="5047" w:type="dxa"/>
          </w:tcPr>
          <w:p>
            <w:pPr>
              <w:spacing w:before="93"/>
              <w:rPr>
                <w:rFonts w:ascii="仿宋_GB2312" w:eastAsia="仿宋_GB2312"/>
                <w:sz w:val="21"/>
                <w:szCs w:val="21"/>
              </w:rPr>
            </w:pPr>
            <w:r>
              <w:rPr>
                <w:rFonts w:hint="eastAsia" w:ascii="仿宋_GB2312" w:eastAsia="仿宋_GB2312"/>
                <w:sz w:val="21"/>
                <w:szCs w:val="21"/>
              </w:rPr>
              <w:t>依据中等职业学校劳动教育相关要求开设，并与专业实际和行业发展密切结合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1" w:type="dxa"/>
            <w:gridSpan w:val="3"/>
            <w:vAlign w:val="center"/>
          </w:tcPr>
          <w:p>
            <w:pPr>
              <w:snapToGrid w:val="0"/>
              <w:spacing w:beforeLines="0" w:line="240" w:lineRule="auto"/>
              <w:jc w:val="center"/>
              <w:rPr>
                <w:rFonts w:ascii="仿宋_GB2312" w:eastAsia="仿宋_GB2312"/>
                <w:sz w:val="24"/>
                <w:szCs w:val="24"/>
              </w:rPr>
            </w:pPr>
            <w:r>
              <w:rPr>
                <w:rFonts w:hint="eastAsia" w:ascii="仿宋_GB2312" w:eastAsia="仿宋_GB2312" w:cs="仿宋_GB2312"/>
                <w:sz w:val="24"/>
                <w:szCs w:val="24"/>
              </w:rPr>
              <w:t>合计</w:t>
            </w:r>
          </w:p>
        </w:tc>
        <w:tc>
          <w:tcPr>
            <w:tcW w:w="1296"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1272</w:t>
            </w:r>
          </w:p>
        </w:tc>
      </w:tr>
    </w:tbl>
    <w:p>
      <w:pPr>
        <w:snapToGrid w:val="0"/>
        <w:spacing w:beforeLines="0" w:line="360" w:lineRule="auto"/>
        <w:ind w:firstLine="480" w:firstLineChars="200"/>
        <w:jc w:val="left"/>
        <w:outlineLvl w:val="1"/>
        <w:rPr>
          <w:rFonts w:ascii="仿宋_GB2312" w:eastAsia="仿宋_GB2312" w:cs="仿宋_GB2312"/>
          <w:bCs/>
          <w:sz w:val="24"/>
          <w:szCs w:val="24"/>
        </w:rPr>
      </w:pPr>
    </w:p>
    <w:p>
      <w:pPr>
        <w:snapToGrid w:val="0"/>
        <w:spacing w:beforeLines="0" w:line="360" w:lineRule="auto"/>
        <w:ind w:firstLine="602" w:firstLineChars="200"/>
        <w:jc w:val="left"/>
        <w:outlineLvl w:val="1"/>
        <w:rPr>
          <w:rFonts w:ascii="仿宋_GB2312" w:eastAsia="仿宋_GB2312"/>
          <w:b/>
          <w:bCs/>
          <w:sz w:val="30"/>
          <w:szCs w:val="30"/>
        </w:rPr>
      </w:pPr>
      <w:bookmarkStart w:id="52" w:name="_Toc438974529"/>
      <w:bookmarkStart w:id="53" w:name="_Toc437332766"/>
      <w:r>
        <w:rPr>
          <w:rFonts w:hint="eastAsia" w:ascii="仿宋_GB2312" w:eastAsia="仿宋_GB2312" w:cs="仿宋_GB2312"/>
          <w:b/>
          <w:bCs/>
          <w:sz w:val="30"/>
          <w:szCs w:val="30"/>
        </w:rPr>
        <w:t>（二）专业技能课</w:t>
      </w:r>
      <w:bookmarkEnd w:id="52"/>
      <w:bookmarkEnd w:id="53"/>
    </w:p>
    <w:p>
      <w:pPr>
        <w:snapToGrid w:val="0"/>
        <w:spacing w:beforeLines="0" w:line="360" w:lineRule="auto"/>
        <w:ind w:firstLine="703" w:firstLineChars="250"/>
        <w:rPr>
          <w:rFonts w:ascii="仿宋_GB2312" w:eastAsia="仿宋_GB2312"/>
          <w:b/>
        </w:rPr>
      </w:pPr>
      <w:bookmarkStart w:id="54" w:name="_Toc423456810"/>
      <w:bookmarkStart w:id="55" w:name="_Toc423456549"/>
      <w:r>
        <w:rPr>
          <w:rFonts w:hint="eastAsia" w:ascii="仿宋_GB2312" w:eastAsia="仿宋_GB2312" w:cs="仿宋_GB2312"/>
          <w:b/>
        </w:rPr>
        <w:t>1.专业核心课</w:t>
      </w:r>
      <w:bookmarkEnd w:id="54"/>
      <w:bookmarkEnd w:id="55"/>
      <w:bookmarkStart w:id="56" w:name="_Toc423456811"/>
      <w:bookmarkStart w:id="57" w:name="_Toc423456550"/>
    </w:p>
    <w:tbl>
      <w:tblPr>
        <w:tblStyle w:val="1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797"/>
        <w:gridCol w:w="5724"/>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23" w:type="dxa"/>
            <w:vAlign w:val="center"/>
          </w:tcPr>
          <w:p>
            <w:pPr>
              <w:snapToGrid w:val="0"/>
              <w:spacing w:beforeLines="0" w:line="240" w:lineRule="auto"/>
              <w:jc w:val="center"/>
              <w:rPr>
                <w:rFonts w:ascii="仿宋_GB2312" w:eastAsia="仿宋_GB2312"/>
                <w:b/>
                <w:bCs/>
                <w:sz w:val="24"/>
                <w:szCs w:val="24"/>
              </w:rPr>
            </w:pPr>
            <w:r>
              <w:rPr>
                <w:rFonts w:hint="eastAsia" w:ascii="仿宋_GB2312" w:eastAsia="仿宋_GB2312" w:cs="仿宋_GB2312"/>
                <w:bCs/>
                <w:sz w:val="24"/>
                <w:szCs w:val="24"/>
              </w:rPr>
              <w:t>序号</w:t>
            </w:r>
          </w:p>
        </w:tc>
        <w:tc>
          <w:tcPr>
            <w:tcW w:w="1797" w:type="dxa"/>
            <w:vAlign w:val="center"/>
          </w:tcPr>
          <w:p>
            <w:pPr>
              <w:snapToGrid w:val="0"/>
              <w:spacing w:beforeLines="0" w:line="240" w:lineRule="auto"/>
              <w:jc w:val="center"/>
              <w:rPr>
                <w:rFonts w:ascii="仿宋_GB2312" w:eastAsia="仿宋_GB2312"/>
                <w:b/>
                <w:bCs/>
                <w:sz w:val="24"/>
                <w:szCs w:val="24"/>
              </w:rPr>
            </w:pPr>
            <w:r>
              <w:rPr>
                <w:rFonts w:hint="eastAsia" w:ascii="仿宋_GB2312" w:eastAsia="仿宋_GB2312" w:cs="仿宋_GB2312"/>
                <w:bCs/>
                <w:sz w:val="24"/>
                <w:szCs w:val="24"/>
              </w:rPr>
              <w:t>课程名称</w:t>
            </w:r>
          </w:p>
        </w:tc>
        <w:tc>
          <w:tcPr>
            <w:tcW w:w="5724" w:type="dxa"/>
            <w:vAlign w:val="center"/>
          </w:tcPr>
          <w:p>
            <w:pPr>
              <w:snapToGrid w:val="0"/>
              <w:spacing w:beforeLines="0" w:line="240" w:lineRule="auto"/>
              <w:jc w:val="center"/>
              <w:rPr>
                <w:rFonts w:ascii="仿宋_GB2312" w:eastAsia="仿宋_GB2312"/>
                <w:b/>
                <w:bCs/>
                <w:sz w:val="24"/>
                <w:szCs w:val="24"/>
              </w:rPr>
            </w:pPr>
            <w:r>
              <w:rPr>
                <w:rFonts w:hint="eastAsia" w:ascii="仿宋_GB2312" w:eastAsia="仿宋_GB2312" w:cs="仿宋_GB2312"/>
                <w:bCs/>
                <w:sz w:val="24"/>
                <w:szCs w:val="24"/>
              </w:rPr>
              <w:t>主要教学内容和要求</w:t>
            </w:r>
          </w:p>
        </w:tc>
        <w:tc>
          <w:tcPr>
            <w:tcW w:w="745" w:type="dxa"/>
            <w:vAlign w:val="center"/>
          </w:tcPr>
          <w:p>
            <w:pPr>
              <w:snapToGrid w:val="0"/>
              <w:spacing w:beforeLines="0" w:line="240" w:lineRule="auto"/>
              <w:jc w:val="center"/>
              <w:rPr>
                <w:rFonts w:ascii="仿宋_GB2312" w:eastAsia="仿宋_GB2312"/>
                <w:bCs/>
                <w:sz w:val="24"/>
                <w:szCs w:val="24"/>
              </w:rPr>
            </w:pPr>
            <w:r>
              <w:rPr>
                <w:rFonts w:hint="eastAsia" w:ascii="仿宋_GB2312" w:eastAsia="仿宋_GB2312" w:cs="仿宋_GB2312"/>
                <w:bCs/>
                <w:sz w:val="24"/>
                <w:szCs w:val="24"/>
              </w:rPr>
              <w:t>参考</w:t>
            </w:r>
          </w:p>
          <w:p>
            <w:pPr>
              <w:snapToGrid w:val="0"/>
              <w:spacing w:beforeLines="0" w:line="240" w:lineRule="auto"/>
              <w:jc w:val="center"/>
              <w:rPr>
                <w:rFonts w:ascii="仿宋_GB2312" w:eastAsia="仿宋_GB2312"/>
                <w:bCs/>
                <w:sz w:val="24"/>
                <w:szCs w:val="24"/>
              </w:rPr>
            </w:pPr>
            <w:r>
              <w:rPr>
                <w:rFonts w:hint="eastAsia" w:ascii="仿宋_GB2312" w:eastAsia="仿宋_GB2312" w:cs="仿宋_GB2312"/>
                <w:bCs/>
                <w:sz w:val="24"/>
                <w:szCs w:val="24"/>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1</w:t>
            </w:r>
          </w:p>
        </w:tc>
        <w:tc>
          <w:tcPr>
            <w:tcW w:w="1797"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汽车发动机构造与维修</w:t>
            </w:r>
          </w:p>
        </w:tc>
        <w:tc>
          <w:tcPr>
            <w:tcW w:w="5724" w:type="dxa"/>
            <w:vAlign w:val="center"/>
          </w:tcPr>
          <w:p>
            <w:pPr>
              <w:snapToGrid w:val="0"/>
              <w:spacing w:beforeLines="0" w:line="240" w:lineRule="auto"/>
              <w:ind w:firstLine="240" w:firstLineChars="100"/>
              <w:jc w:val="left"/>
              <w:rPr>
                <w:rFonts w:ascii="仿宋_GB2312" w:eastAsia="仿宋_GB2312" w:cs="仿宋_GB2312"/>
                <w:bCs/>
                <w:sz w:val="24"/>
                <w:szCs w:val="24"/>
              </w:rPr>
            </w:pPr>
            <w:r>
              <w:rPr>
                <w:rFonts w:hint="eastAsia" w:ascii="仿宋_GB2312" w:eastAsia="仿宋_GB2312" w:cs="仿宋_GB2312"/>
                <w:bCs/>
                <w:sz w:val="24"/>
                <w:szCs w:val="24"/>
              </w:rPr>
              <w:t>掌握发动机构造及原理知识、加深对相关检修技能的理解和应用，培养学生良好的工作习惯，形成良好的职业素养</w:t>
            </w:r>
          </w:p>
        </w:tc>
        <w:tc>
          <w:tcPr>
            <w:tcW w:w="745"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2</w:t>
            </w:r>
          </w:p>
        </w:tc>
        <w:tc>
          <w:tcPr>
            <w:tcW w:w="1797"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汽车识图</w:t>
            </w:r>
          </w:p>
          <w:p>
            <w:pPr>
              <w:snapToGrid w:val="0"/>
              <w:spacing w:beforeLines="0" w:line="240" w:lineRule="auto"/>
              <w:jc w:val="center"/>
              <w:rPr>
                <w:rFonts w:ascii="仿宋_GB2312" w:eastAsia="仿宋_GB2312" w:cs="仿宋_GB2312"/>
                <w:bCs/>
                <w:sz w:val="24"/>
                <w:szCs w:val="24"/>
              </w:rPr>
            </w:pPr>
          </w:p>
        </w:tc>
        <w:tc>
          <w:tcPr>
            <w:tcW w:w="5724" w:type="dxa"/>
            <w:vAlign w:val="center"/>
          </w:tcPr>
          <w:p>
            <w:pPr>
              <w:snapToGrid w:val="0"/>
              <w:spacing w:beforeLines="0" w:line="240" w:lineRule="auto"/>
              <w:ind w:firstLine="240" w:firstLineChars="100"/>
              <w:jc w:val="left"/>
              <w:rPr>
                <w:rFonts w:ascii="仿宋_GB2312" w:eastAsia="仿宋_GB2312" w:cs="仿宋_GB2312"/>
                <w:bCs/>
                <w:sz w:val="24"/>
                <w:szCs w:val="24"/>
              </w:rPr>
            </w:pPr>
            <w:r>
              <w:rPr>
                <w:rFonts w:hint="eastAsia" w:ascii="仿宋_GB2312" w:eastAsia="仿宋_GB2312" w:cs="仿宋_GB2312"/>
                <w:bCs/>
                <w:sz w:val="24"/>
                <w:szCs w:val="24"/>
              </w:rPr>
              <w:t>掌握识读、绘制机械图样的能力，为后续专业课程及将来从事汽车维修及相关行业技术工作打下良好的基础</w:t>
            </w:r>
          </w:p>
        </w:tc>
        <w:tc>
          <w:tcPr>
            <w:tcW w:w="745"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3</w:t>
            </w:r>
          </w:p>
        </w:tc>
        <w:tc>
          <w:tcPr>
            <w:tcW w:w="1797"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 xml:space="preserve">汽车钳工基本技能 </w:t>
            </w:r>
          </w:p>
          <w:p>
            <w:pPr>
              <w:snapToGrid w:val="0"/>
              <w:spacing w:beforeLines="0" w:line="240" w:lineRule="auto"/>
              <w:jc w:val="center"/>
              <w:rPr>
                <w:rFonts w:ascii="仿宋_GB2312" w:eastAsia="仿宋_GB2312" w:cs="仿宋_GB2312"/>
                <w:sz w:val="24"/>
                <w:szCs w:val="24"/>
              </w:rPr>
            </w:pPr>
          </w:p>
        </w:tc>
        <w:tc>
          <w:tcPr>
            <w:tcW w:w="5724" w:type="dxa"/>
            <w:vAlign w:val="center"/>
          </w:tcPr>
          <w:p>
            <w:pPr>
              <w:snapToGrid w:val="0"/>
              <w:spacing w:beforeLines="0" w:line="240" w:lineRule="auto"/>
              <w:jc w:val="left"/>
              <w:rPr>
                <w:rFonts w:ascii="仿宋_GB2312" w:eastAsia="仿宋_GB2312" w:cs="仿宋_GB2312"/>
                <w:sz w:val="24"/>
                <w:szCs w:val="24"/>
              </w:rPr>
            </w:pPr>
            <w:r>
              <w:rPr>
                <w:rFonts w:hint="eastAsia" w:ascii="仿宋_GB2312" w:eastAsia="仿宋_GB2312" w:cs="仿宋_GB2312"/>
                <w:sz w:val="24"/>
                <w:szCs w:val="24"/>
              </w:rPr>
              <w:t xml:space="preserve">  掌握钳工常用工、量、刃具的选择和正确使用方法；了解钳工的基本工艺分析方法，能按图完成简单零件的钳工制作；了解常用机械传动的一般常识，会拆装维修简单的机械部件，能运用所学的专业知识和钳工基本技能解决一些简单的汽修机械方面的技术问题</w:t>
            </w:r>
          </w:p>
        </w:tc>
        <w:tc>
          <w:tcPr>
            <w:tcW w:w="745"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4</w:t>
            </w:r>
          </w:p>
        </w:tc>
        <w:tc>
          <w:tcPr>
            <w:tcW w:w="1797"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汽车运行材料</w:t>
            </w:r>
          </w:p>
        </w:tc>
        <w:tc>
          <w:tcPr>
            <w:tcW w:w="5724" w:type="dxa"/>
            <w:vAlign w:val="center"/>
          </w:tcPr>
          <w:p>
            <w:pPr>
              <w:snapToGrid w:val="0"/>
              <w:spacing w:beforeLines="0" w:line="240" w:lineRule="auto"/>
              <w:ind w:firstLine="240" w:firstLineChars="100"/>
              <w:jc w:val="left"/>
              <w:rPr>
                <w:rFonts w:ascii="仿宋_GB2312" w:eastAsia="仿宋_GB2312" w:cs="仿宋_GB2312"/>
                <w:bCs/>
                <w:sz w:val="24"/>
                <w:szCs w:val="24"/>
              </w:rPr>
            </w:pPr>
            <w:r>
              <w:rPr>
                <w:rFonts w:hint="eastAsia" w:ascii="仿宋_GB2312" w:eastAsia="仿宋_GB2312" w:cs="仿宋_GB2312"/>
                <w:bCs/>
                <w:sz w:val="24"/>
                <w:szCs w:val="24"/>
              </w:rPr>
              <w:t>了解汽车运行材料的主要使用性能、规格、牌号及其合理应用，以及汽车运行材料技术的新发展和新市场产品，国家与行业的新标准。为学习后续课以及毕业后从事有关的技术工作和科学研究工作打下一定的基础</w:t>
            </w:r>
          </w:p>
        </w:tc>
        <w:tc>
          <w:tcPr>
            <w:tcW w:w="745"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5</w:t>
            </w:r>
          </w:p>
        </w:tc>
        <w:tc>
          <w:tcPr>
            <w:tcW w:w="1797"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汽车电气设备构造与维修</w:t>
            </w:r>
          </w:p>
        </w:tc>
        <w:tc>
          <w:tcPr>
            <w:tcW w:w="5724" w:type="dxa"/>
            <w:vAlign w:val="center"/>
          </w:tcPr>
          <w:p>
            <w:pPr>
              <w:snapToGrid w:val="0"/>
              <w:spacing w:beforeLines="0" w:line="240" w:lineRule="auto"/>
              <w:ind w:firstLine="240" w:firstLineChars="100"/>
              <w:jc w:val="left"/>
              <w:rPr>
                <w:rFonts w:ascii="仿宋_GB2312" w:eastAsia="仿宋_GB2312" w:cs="仿宋_GB2312"/>
                <w:bCs/>
                <w:sz w:val="24"/>
                <w:szCs w:val="24"/>
              </w:rPr>
            </w:pPr>
            <w:r>
              <w:rPr>
                <w:rFonts w:hint="eastAsia" w:ascii="仿宋_GB2312" w:eastAsia="仿宋_GB2312" w:cs="仿宋_GB2312"/>
                <w:bCs/>
                <w:sz w:val="24"/>
                <w:szCs w:val="24"/>
              </w:rPr>
              <w:t>了解汽车电气设备结构、原理,并能够利用现代诊断和检测设备进行综合故障诊断分析、零部件检测及维修更换等专业能力，为汽车故障诊断与检测课程打下良好的基础</w:t>
            </w:r>
          </w:p>
        </w:tc>
        <w:tc>
          <w:tcPr>
            <w:tcW w:w="745"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6</w:t>
            </w:r>
          </w:p>
        </w:tc>
        <w:tc>
          <w:tcPr>
            <w:tcW w:w="1797"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汽车底盘构造与维修</w:t>
            </w:r>
          </w:p>
        </w:tc>
        <w:tc>
          <w:tcPr>
            <w:tcW w:w="5724" w:type="dxa"/>
            <w:vAlign w:val="center"/>
          </w:tcPr>
          <w:p>
            <w:pPr>
              <w:snapToGrid w:val="0"/>
              <w:spacing w:beforeLines="0" w:line="240" w:lineRule="auto"/>
              <w:ind w:firstLine="240" w:firstLineChars="100"/>
              <w:jc w:val="left"/>
              <w:rPr>
                <w:rFonts w:ascii="仿宋_GB2312" w:eastAsia="仿宋_GB2312" w:cs="仿宋_GB2312"/>
                <w:bCs/>
                <w:sz w:val="24"/>
                <w:szCs w:val="24"/>
              </w:rPr>
            </w:pPr>
            <w:r>
              <w:rPr>
                <w:rFonts w:hint="eastAsia" w:ascii="仿宋_GB2312" w:eastAsia="仿宋_GB2312" w:cs="仿宋_GB2312"/>
                <w:bCs/>
                <w:sz w:val="24"/>
                <w:szCs w:val="24"/>
              </w:rPr>
              <w:t>掌握汽车底盘各系统、总成和部件的功用、结构与基本工作原理；初步具有底盘拆装、底盘零件耗损分析、底盘维修、底盘故障诊断与排除的基本能力，为无缝对接工作岗位打下良好基础</w:t>
            </w:r>
          </w:p>
        </w:tc>
        <w:tc>
          <w:tcPr>
            <w:tcW w:w="745"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7</w:t>
            </w:r>
          </w:p>
        </w:tc>
        <w:tc>
          <w:tcPr>
            <w:tcW w:w="1797" w:type="dxa"/>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汽车维护与保养</w:t>
            </w:r>
          </w:p>
        </w:tc>
        <w:tc>
          <w:tcPr>
            <w:tcW w:w="5724" w:type="dxa"/>
            <w:vAlign w:val="center"/>
          </w:tcPr>
          <w:p>
            <w:pPr>
              <w:snapToGrid w:val="0"/>
              <w:spacing w:beforeLines="0" w:line="240" w:lineRule="auto"/>
              <w:ind w:firstLine="240" w:firstLineChars="100"/>
              <w:rPr>
                <w:rFonts w:ascii="仿宋_GB2312" w:hAnsi="仿宋" w:eastAsia="仿宋_GB2312"/>
                <w:sz w:val="24"/>
                <w:szCs w:val="24"/>
              </w:rPr>
            </w:pPr>
            <w:r>
              <w:rPr>
                <w:rFonts w:hint="eastAsia" w:ascii="仿宋_GB2312" w:hAnsi="仿宋" w:eastAsia="仿宋_GB2312" w:cs="仿宋_GB2312"/>
                <w:sz w:val="24"/>
                <w:szCs w:val="24"/>
              </w:rPr>
              <w:t>掌握汽车维护保养的技能，并能分析汽车的结构和工作原理，初步形成一定的学习能力和实践能力，培养学生诚实、守信、善于沟通和合作的品质，以及环保节能和安全意识</w:t>
            </w:r>
          </w:p>
        </w:tc>
        <w:tc>
          <w:tcPr>
            <w:tcW w:w="745" w:type="dxa"/>
            <w:vAlign w:val="center"/>
          </w:tcPr>
          <w:p>
            <w:pPr>
              <w:snapToGrid w:val="0"/>
              <w:spacing w:beforeLines="0" w:line="240" w:lineRule="auto"/>
              <w:jc w:val="center"/>
              <w:rPr>
                <w:rFonts w:hint="default"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8</w:t>
            </w:r>
          </w:p>
        </w:tc>
        <w:tc>
          <w:tcPr>
            <w:tcW w:w="1797" w:type="dxa"/>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汽车电控维修</w:t>
            </w:r>
          </w:p>
        </w:tc>
        <w:tc>
          <w:tcPr>
            <w:tcW w:w="5724" w:type="dxa"/>
            <w:vAlign w:val="center"/>
          </w:tcPr>
          <w:p>
            <w:pPr>
              <w:snapToGrid w:val="0"/>
              <w:spacing w:beforeLines="0" w:line="240" w:lineRule="auto"/>
              <w:ind w:firstLine="240" w:firstLineChars="100"/>
              <w:rPr>
                <w:rFonts w:ascii="仿宋_GB2312" w:hAnsi="仿宋" w:eastAsia="仿宋_GB2312"/>
                <w:sz w:val="24"/>
                <w:szCs w:val="24"/>
              </w:rPr>
            </w:pPr>
            <w:r>
              <w:rPr>
                <w:rFonts w:hint="eastAsia" w:ascii="仿宋_GB2312" w:hAnsi="仿宋" w:eastAsia="仿宋_GB2312" w:cs="仿宋_GB2312"/>
                <w:sz w:val="24"/>
                <w:szCs w:val="24"/>
              </w:rPr>
              <w:t>了解</w:t>
            </w:r>
            <w:r>
              <w:rPr>
                <w:rFonts w:hint="eastAsia" w:ascii="仿宋_GB2312" w:eastAsia="仿宋_GB2312"/>
                <w:kern w:val="0"/>
                <w:sz w:val="24"/>
              </w:rPr>
              <w:t>电控系统结构、原理，能够利用现代诊断和检测设备进行综合故障诊断、分析，零部件检测及维修更换等专业能力，</w:t>
            </w:r>
            <w:r>
              <w:rPr>
                <w:rFonts w:hint="eastAsia" w:ascii="仿宋_GB2312" w:hAnsi="仿宋" w:eastAsia="仿宋_GB2312" w:cs="仿宋_GB2312"/>
                <w:sz w:val="24"/>
                <w:szCs w:val="24"/>
              </w:rPr>
              <w:t>初步具有电子控制装置故障检测诊断与排除等能力</w:t>
            </w:r>
          </w:p>
        </w:tc>
        <w:tc>
          <w:tcPr>
            <w:tcW w:w="745"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9</w:t>
            </w:r>
          </w:p>
        </w:tc>
        <w:tc>
          <w:tcPr>
            <w:tcW w:w="1797"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汽车空调</w:t>
            </w:r>
          </w:p>
        </w:tc>
        <w:tc>
          <w:tcPr>
            <w:tcW w:w="5724" w:type="dxa"/>
            <w:vAlign w:val="center"/>
          </w:tcPr>
          <w:p>
            <w:pPr>
              <w:snapToGrid w:val="0"/>
              <w:spacing w:beforeLines="0" w:line="240" w:lineRule="auto"/>
              <w:ind w:firstLine="240" w:firstLineChars="100"/>
              <w:jc w:val="left"/>
              <w:rPr>
                <w:rFonts w:ascii="仿宋_GB2312" w:eastAsia="仿宋_GB2312" w:cs="仿宋_GB2312"/>
                <w:bCs/>
                <w:sz w:val="24"/>
                <w:szCs w:val="24"/>
              </w:rPr>
            </w:pPr>
            <w:r>
              <w:rPr>
                <w:rFonts w:hint="eastAsia" w:ascii="仿宋_GB2312" w:eastAsia="仿宋_GB2312" w:cs="仿宋_GB2312"/>
                <w:bCs/>
                <w:sz w:val="24"/>
                <w:szCs w:val="24"/>
              </w:rPr>
              <w:t>掌握汽车空调的制冷制热与除湿的基本原理和组成部分，了解典型汽车空调和维修技术及有关维修保养技术</w:t>
            </w:r>
          </w:p>
        </w:tc>
        <w:tc>
          <w:tcPr>
            <w:tcW w:w="745"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10</w:t>
            </w:r>
          </w:p>
        </w:tc>
        <w:tc>
          <w:tcPr>
            <w:tcW w:w="1797" w:type="dxa"/>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sz w:val="24"/>
                <w:szCs w:val="24"/>
              </w:rPr>
              <w:t>1+X考证培训</w:t>
            </w:r>
          </w:p>
        </w:tc>
        <w:tc>
          <w:tcPr>
            <w:tcW w:w="5724" w:type="dxa"/>
            <w:vAlign w:val="center"/>
          </w:tcPr>
          <w:p>
            <w:pPr>
              <w:snapToGrid w:val="0"/>
              <w:spacing w:beforeLines="0" w:line="240" w:lineRule="auto"/>
              <w:ind w:firstLine="240" w:firstLineChars="100"/>
              <w:rPr>
                <w:rFonts w:ascii="仿宋_GB2312" w:hAnsi="仿宋" w:eastAsia="仿宋_GB2312"/>
                <w:sz w:val="24"/>
                <w:szCs w:val="24"/>
              </w:rPr>
            </w:pPr>
            <w:r>
              <w:rPr>
                <w:rFonts w:hint="eastAsia" w:ascii="仿宋_GB2312" w:hAnsi="仿宋" w:eastAsia="仿宋_GB2312"/>
                <w:sz w:val="24"/>
                <w:szCs w:val="24"/>
              </w:rPr>
              <w:t>掌握电子控制电路检测与维修、起动与充电系统检测维修、电器与控制部件检测维修、空调与舒适部件检测维修4个项目，</w:t>
            </w:r>
            <w:r>
              <w:rPr>
                <w:rFonts w:hint="eastAsia" w:ascii="仿宋_GB2312" w:hAnsi="仿宋" w:eastAsia="仿宋_GB2312" w:cs="仿宋_GB2312"/>
                <w:sz w:val="24"/>
                <w:szCs w:val="24"/>
              </w:rPr>
              <w:t>对接“1+X”智能新能源</w:t>
            </w:r>
            <w:r>
              <w:rPr>
                <w:rFonts w:ascii="仿宋_GB2312" w:hAnsi="仿宋" w:eastAsia="仿宋_GB2312" w:cs="仿宋_GB2312"/>
                <w:sz w:val="24"/>
                <w:szCs w:val="24"/>
              </w:rPr>
              <w:t>汽车职业技能等级证书</w:t>
            </w:r>
            <w:r>
              <w:rPr>
                <w:rFonts w:hint="eastAsia" w:ascii="仿宋_GB2312" w:hAnsi="仿宋" w:eastAsia="仿宋_GB2312" w:cs="仿宋_GB2312"/>
                <w:sz w:val="24"/>
                <w:szCs w:val="24"/>
              </w:rPr>
              <w:t>考核</w:t>
            </w:r>
            <w:r>
              <w:rPr>
                <w:rFonts w:ascii="仿宋_GB2312" w:hAnsi="仿宋" w:eastAsia="仿宋_GB2312" w:cs="仿宋_GB2312"/>
                <w:sz w:val="24"/>
                <w:szCs w:val="24"/>
              </w:rPr>
              <w:t>标准</w:t>
            </w:r>
            <w:r>
              <w:rPr>
                <w:rFonts w:hint="eastAsia" w:ascii="仿宋_GB2312" w:hAnsi="仿宋" w:eastAsia="仿宋_GB2312" w:cs="仿宋_GB2312"/>
                <w:sz w:val="24"/>
                <w:szCs w:val="24"/>
              </w:rPr>
              <w:t>开设，</w:t>
            </w:r>
            <w:r>
              <w:rPr>
                <w:rFonts w:hint="eastAsia" w:ascii="仿宋_GB2312" w:hAnsi="仿宋" w:eastAsia="仿宋_GB2312"/>
                <w:sz w:val="24"/>
                <w:szCs w:val="24"/>
              </w:rPr>
              <w:t>进行“1+X”考证。</w:t>
            </w:r>
          </w:p>
        </w:tc>
        <w:tc>
          <w:tcPr>
            <w:tcW w:w="745"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11</w:t>
            </w:r>
          </w:p>
        </w:tc>
        <w:tc>
          <w:tcPr>
            <w:tcW w:w="1797" w:type="dxa"/>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汽车营销</w:t>
            </w:r>
          </w:p>
        </w:tc>
        <w:tc>
          <w:tcPr>
            <w:tcW w:w="5724" w:type="dxa"/>
            <w:vAlign w:val="center"/>
          </w:tcPr>
          <w:p>
            <w:pPr>
              <w:snapToGrid w:val="0"/>
              <w:spacing w:beforeLines="0" w:line="240" w:lineRule="auto"/>
              <w:ind w:firstLine="240" w:firstLineChars="100"/>
              <w:rPr>
                <w:rFonts w:ascii="仿宋_GB2312" w:hAnsi="仿宋" w:eastAsia="仿宋_GB2312"/>
                <w:sz w:val="24"/>
                <w:szCs w:val="24"/>
              </w:rPr>
            </w:pPr>
            <w:r>
              <w:rPr>
                <w:rFonts w:hint="eastAsia" w:ascii="仿宋_GB2312" w:hAnsi="仿宋" w:eastAsia="仿宋_GB2312" w:cs="仿宋_GB2312"/>
                <w:sz w:val="24"/>
                <w:szCs w:val="24"/>
              </w:rPr>
              <w:t>掌握现代汽车营销理念和营销技巧，以及在汽车销售的服务流程和汽车销售人员的市场调查、市场分析和营销技巧、顾客服务和营销策划等技能</w:t>
            </w:r>
          </w:p>
        </w:tc>
        <w:tc>
          <w:tcPr>
            <w:tcW w:w="745" w:type="dxa"/>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12</w:t>
            </w:r>
          </w:p>
        </w:tc>
        <w:tc>
          <w:tcPr>
            <w:tcW w:w="1797" w:type="dxa"/>
            <w:vAlign w:val="center"/>
          </w:tcPr>
          <w:p>
            <w:pPr>
              <w:tabs>
                <w:tab w:val="left" w:pos="426"/>
                <w:tab w:val="left" w:pos="709"/>
              </w:tabs>
              <w:topLinePunct/>
              <w:adjustRightInd w:val="0"/>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汽车美容</w:t>
            </w:r>
          </w:p>
        </w:tc>
        <w:tc>
          <w:tcPr>
            <w:tcW w:w="5724" w:type="dxa"/>
            <w:vAlign w:val="center"/>
          </w:tcPr>
          <w:p>
            <w:pPr>
              <w:snapToGrid w:val="0"/>
              <w:spacing w:beforeLines="0" w:line="240" w:lineRule="auto"/>
              <w:ind w:firstLine="240" w:firstLineChars="100"/>
              <w:rPr>
                <w:rFonts w:ascii="仿宋_GB2312" w:hAnsi="仿宋" w:eastAsia="仿宋_GB2312" w:cs="仿宋_GB2312"/>
                <w:sz w:val="24"/>
                <w:szCs w:val="24"/>
              </w:rPr>
            </w:pPr>
            <w:r>
              <w:rPr>
                <w:rFonts w:hint="eastAsia" w:ascii="仿宋_GB2312" w:hAnsi="仿宋" w:eastAsia="仿宋_GB2312" w:cs="仿宋_GB2312"/>
                <w:sz w:val="24"/>
                <w:szCs w:val="24"/>
              </w:rPr>
              <w:t>掌握各种汽车装饰设备的使用方法、使用程序和操作步骤等。</w:t>
            </w:r>
          </w:p>
        </w:tc>
        <w:tc>
          <w:tcPr>
            <w:tcW w:w="745" w:type="dxa"/>
            <w:vAlign w:val="center"/>
          </w:tcPr>
          <w:p>
            <w:pPr>
              <w:tabs>
                <w:tab w:val="left" w:pos="426"/>
                <w:tab w:val="left" w:pos="709"/>
              </w:tabs>
              <w:topLinePunct/>
              <w:adjustRightInd w:val="0"/>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tabs>
                <w:tab w:val="left" w:pos="426"/>
                <w:tab w:val="left" w:pos="709"/>
              </w:tabs>
              <w:topLinePunct/>
              <w:adjustRightInd w:val="0"/>
              <w:snapToGrid w:val="0"/>
              <w:spacing w:beforeLines="0" w:line="240" w:lineRule="auto"/>
              <w:jc w:val="center"/>
              <w:rPr>
                <w:rFonts w:ascii="仿宋_GB2312" w:hAnsi="宋体" w:eastAsia="仿宋_GB2312" w:cs="仿宋_GB2312"/>
                <w:kern w:val="0"/>
                <w:position w:val="10"/>
                <w:sz w:val="24"/>
                <w:szCs w:val="24"/>
                <w:lang w:val="zh-CN"/>
              </w:rPr>
            </w:pPr>
            <w:r>
              <w:rPr>
                <w:rFonts w:hint="eastAsia" w:ascii="仿宋_GB2312" w:hAnsi="宋体" w:eastAsia="仿宋_GB2312" w:cs="仿宋_GB2312"/>
                <w:kern w:val="0"/>
                <w:position w:val="10"/>
                <w:sz w:val="24"/>
                <w:szCs w:val="24"/>
                <w:lang w:val="zh-CN"/>
              </w:rPr>
              <w:t>13</w:t>
            </w:r>
          </w:p>
        </w:tc>
        <w:tc>
          <w:tcPr>
            <w:tcW w:w="1797" w:type="dxa"/>
            <w:vAlign w:val="center"/>
          </w:tcPr>
          <w:p>
            <w:pPr>
              <w:tabs>
                <w:tab w:val="left" w:pos="426"/>
                <w:tab w:val="left" w:pos="709"/>
              </w:tabs>
              <w:topLinePunct/>
              <w:adjustRightInd w:val="0"/>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新能源汽车辅助系统</w:t>
            </w:r>
          </w:p>
        </w:tc>
        <w:tc>
          <w:tcPr>
            <w:tcW w:w="5724" w:type="dxa"/>
            <w:vAlign w:val="center"/>
          </w:tcPr>
          <w:p>
            <w:pPr>
              <w:snapToGrid w:val="0"/>
              <w:spacing w:beforeLines="0" w:line="240" w:lineRule="auto"/>
              <w:ind w:firstLine="240" w:firstLineChars="100"/>
              <w:rPr>
                <w:rFonts w:ascii="仿宋_GB2312" w:hAnsi="仿宋" w:eastAsia="仿宋_GB2312" w:cs="仿宋_GB2312"/>
                <w:sz w:val="24"/>
                <w:szCs w:val="24"/>
              </w:rPr>
            </w:pPr>
            <w:r>
              <w:rPr>
                <w:rFonts w:hint="eastAsia" w:ascii="仿宋_GB2312" w:hAnsi="仿宋" w:eastAsia="仿宋_GB2312" w:cs="仿宋_GB2312"/>
                <w:sz w:val="24"/>
                <w:szCs w:val="24"/>
              </w:rPr>
              <w:t>掌握新能源汽车底盘与车身电气辅助系统：暖风与空调系统、制动系统、电动转向系统、自动启停系统、车载网络与车载互联系统的相关知识和技能。</w:t>
            </w:r>
          </w:p>
        </w:tc>
        <w:tc>
          <w:tcPr>
            <w:tcW w:w="745" w:type="dxa"/>
            <w:vAlign w:val="center"/>
          </w:tcPr>
          <w:p>
            <w:pPr>
              <w:tabs>
                <w:tab w:val="left" w:pos="426"/>
                <w:tab w:val="left" w:pos="709"/>
              </w:tabs>
              <w:topLinePunct/>
              <w:adjustRightInd w:val="0"/>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tabs>
                <w:tab w:val="left" w:pos="426"/>
                <w:tab w:val="left" w:pos="709"/>
              </w:tabs>
              <w:topLinePunct/>
              <w:adjustRightInd w:val="0"/>
              <w:snapToGrid w:val="0"/>
              <w:spacing w:beforeLines="0" w:line="240" w:lineRule="auto"/>
              <w:jc w:val="center"/>
              <w:rPr>
                <w:rFonts w:ascii="仿宋_GB2312" w:hAnsi="宋体" w:eastAsia="仿宋_GB2312" w:cs="仿宋_GB2312"/>
                <w:kern w:val="0"/>
                <w:position w:val="10"/>
                <w:sz w:val="24"/>
                <w:szCs w:val="24"/>
                <w:lang w:val="zh-CN"/>
              </w:rPr>
            </w:pPr>
            <w:r>
              <w:rPr>
                <w:rFonts w:hint="eastAsia" w:ascii="仿宋_GB2312" w:hAnsi="宋体" w:eastAsia="仿宋_GB2312" w:cs="仿宋_GB2312"/>
                <w:kern w:val="0"/>
                <w:position w:val="10"/>
                <w:sz w:val="24"/>
                <w:szCs w:val="24"/>
                <w:lang w:val="zh-CN"/>
              </w:rPr>
              <w:t>14</w:t>
            </w:r>
          </w:p>
        </w:tc>
        <w:tc>
          <w:tcPr>
            <w:tcW w:w="1797" w:type="dxa"/>
            <w:vAlign w:val="center"/>
          </w:tcPr>
          <w:p>
            <w:pPr>
              <w:tabs>
                <w:tab w:val="left" w:pos="426"/>
                <w:tab w:val="left" w:pos="709"/>
              </w:tabs>
              <w:topLinePunct/>
              <w:adjustRightInd w:val="0"/>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新能源汽车维护诊断</w:t>
            </w:r>
          </w:p>
        </w:tc>
        <w:tc>
          <w:tcPr>
            <w:tcW w:w="5724" w:type="dxa"/>
            <w:vAlign w:val="center"/>
          </w:tcPr>
          <w:p>
            <w:pPr>
              <w:snapToGrid w:val="0"/>
              <w:spacing w:beforeLines="0" w:line="240" w:lineRule="auto"/>
              <w:ind w:firstLine="240" w:firstLineChars="100"/>
              <w:rPr>
                <w:rFonts w:ascii="仿宋_GB2312" w:hAnsi="仿宋" w:eastAsia="仿宋_GB2312" w:cs="仿宋_GB2312"/>
                <w:sz w:val="24"/>
                <w:szCs w:val="24"/>
              </w:rPr>
            </w:pPr>
            <w:r>
              <w:rPr>
                <w:rFonts w:hint="eastAsia" w:ascii="仿宋_GB2312" w:hAnsi="仿宋" w:eastAsia="仿宋_GB2312" w:cs="仿宋_GB2312"/>
                <w:sz w:val="24"/>
                <w:szCs w:val="24"/>
              </w:rPr>
              <w:t>掌握新能源汽车使用及日常维护、保养知识和注意事项；新能源汽车警告灯识别与故障诊断流程；纯电动汽车、混合动力汽车故障诊断基本流程、车辆运行数据分析与判断、故障排除方法；燃料电池汽车故障诊断与排除方法。</w:t>
            </w:r>
          </w:p>
        </w:tc>
        <w:tc>
          <w:tcPr>
            <w:tcW w:w="745" w:type="dxa"/>
            <w:vAlign w:val="center"/>
          </w:tcPr>
          <w:p>
            <w:pPr>
              <w:tabs>
                <w:tab w:val="left" w:pos="426"/>
                <w:tab w:val="left" w:pos="709"/>
              </w:tabs>
              <w:topLinePunct/>
              <w:adjustRightInd w:val="0"/>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tabs>
                <w:tab w:val="left" w:pos="426"/>
                <w:tab w:val="left" w:pos="709"/>
              </w:tabs>
              <w:topLinePunct/>
              <w:adjustRightInd w:val="0"/>
              <w:snapToGrid w:val="0"/>
              <w:spacing w:beforeLines="0" w:line="240" w:lineRule="auto"/>
              <w:jc w:val="center"/>
              <w:rPr>
                <w:rFonts w:ascii="仿宋_GB2312" w:hAnsi="宋体" w:eastAsia="仿宋_GB2312" w:cs="仿宋_GB2312"/>
                <w:kern w:val="0"/>
                <w:position w:val="10"/>
                <w:sz w:val="24"/>
                <w:szCs w:val="24"/>
                <w:lang w:val="zh-CN"/>
              </w:rPr>
            </w:pPr>
            <w:r>
              <w:rPr>
                <w:rFonts w:hint="eastAsia" w:ascii="仿宋_GB2312" w:hAnsi="宋体" w:eastAsia="仿宋_GB2312" w:cs="仿宋_GB2312"/>
                <w:kern w:val="0"/>
                <w:position w:val="10"/>
                <w:sz w:val="24"/>
                <w:szCs w:val="24"/>
                <w:lang w:val="zh-CN"/>
              </w:rPr>
              <w:t>15</w:t>
            </w:r>
          </w:p>
        </w:tc>
        <w:tc>
          <w:tcPr>
            <w:tcW w:w="1797" w:type="dxa"/>
            <w:vAlign w:val="center"/>
          </w:tcPr>
          <w:p>
            <w:pPr>
              <w:tabs>
                <w:tab w:val="left" w:pos="426"/>
                <w:tab w:val="left" w:pos="709"/>
              </w:tabs>
              <w:topLinePunct/>
              <w:adjustRightInd w:val="0"/>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新能源汽车认知与应用</w:t>
            </w:r>
          </w:p>
        </w:tc>
        <w:tc>
          <w:tcPr>
            <w:tcW w:w="5724" w:type="dxa"/>
            <w:vAlign w:val="center"/>
          </w:tcPr>
          <w:p>
            <w:pPr>
              <w:snapToGrid w:val="0"/>
              <w:spacing w:beforeLines="0" w:line="240" w:lineRule="auto"/>
              <w:ind w:firstLine="240" w:firstLineChars="100"/>
              <w:rPr>
                <w:rFonts w:ascii="仿宋_GB2312" w:hAnsi="仿宋" w:eastAsia="仿宋_GB2312" w:cs="仿宋_GB2312"/>
                <w:sz w:val="24"/>
                <w:szCs w:val="24"/>
              </w:rPr>
            </w:pPr>
            <w:r>
              <w:rPr>
                <w:rFonts w:hint="eastAsia" w:ascii="仿宋_GB2312" w:hAnsi="仿宋" w:eastAsia="仿宋_GB2312" w:cs="仿宋_GB2312"/>
                <w:sz w:val="24"/>
                <w:szCs w:val="24"/>
              </w:rPr>
              <w:t>掌握新能源汽车安全驾驶与使用、</w:t>
            </w:r>
            <w:r>
              <w:rPr>
                <w:rFonts w:ascii="仿宋_GB2312" w:hAnsi="仿宋" w:eastAsia="仿宋_GB2312" w:cs="仿宋_GB2312"/>
                <w:sz w:val="24"/>
                <w:szCs w:val="24"/>
              </w:rPr>
              <w:t>高压危害与触电急救操作、新能源汽车工作安全与作业准备、新能源汽车高压系统的基本检查、新能源汽车事故现场应急</w:t>
            </w:r>
            <w:r>
              <w:rPr>
                <w:rFonts w:hint="eastAsia" w:ascii="仿宋_GB2312" w:hAnsi="仿宋" w:eastAsia="仿宋_GB2312" w:cs="仿宋_GB2312"/>
                <w:sz w:val="24"/>
                <w:szCs w:val="24"/>
              </w:rPr>
              <w:t>处理</w:t>
            </w:r>
            <w:r>
              <w:rPr>
                <w:rFonts w:ascii="仿宋_GB2312" w:hAnsi="仿宋" w:eastAsia="仿宋_GB2312" w:cs="仿宋_GB2312"/>
                <w:sz w:val="24"/>
                <w:szCs w:val="24"/>
              </w:rPr>
              <w:t>。</w:t>
            </w:r>
          </w:p>
        </w:tc>
        <w:tc>
          <w:tcPr>
            <w:tcW w:w="745" w:type="dxa"/>
            <w:vAlign w:val="center"/>
          </w:tcPr>
          <w:p>
            <w:pPr>
              <w:tabs>
                <w:tab w:val="left" w:pos="426"/>
                <w:tab w:val="left" w:pos="709"/>
              </w:tabs>
              <w:topLinePunct/>
              <w:adjustRightInd w:val="0"/>
              <w:snapToGrid w:val="0"/>
              <w:spacing w:beforeLines="0" w:line="240" w:lineRule="auto"/>
              <w:jc w:val="center"/>
              <w:rPr>
                <w:rFonts w:ascii="仿宋_GB2312" w:hAnsi="仿宋" w:eastAsia="仿宋_GB2312" w:cs="仿宋_GB2312"/>
                <w:sz w:val="24"/>
                <w:szCs w:val="24"/>
              </w:rPr>
            </w:pPr>
            <w:r>
              <w:rPr>
                <w:rFonts w:ascii="仿宋_GB2312" w:hAnsi="仿宋" w:eastAsia="仿宋_GB2312" w:cs="仿宋_GB2312"/>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tabs>
                <w:tab w:val="left" w:pos="426"/>
                <w:tab w:val="left" w:pos="709"/>
              </w:tabs>
              <w:topLinePunct/>
              <w:adjustRightInd w:val="0"/>
              <w:snapToGrid w:val="0"/>
              <w:spacing w:beforeLines="0" w:line="240" w:lineRule="auto"/>
              <w:jc w:val="center"/>
              <w:rPr>
                <w:rFonts w:ascii="仿宋_GB2312" w:hAnsi="宋体" w:eastAsia="仿宋_GB2312" w:cs="仿宋_GB2312"/>
                <w:kern w:val="0"/>
                <w:position w:val="10"/>
                <w:sz w:val="24"/>
                <w:szCs w:val="24"/>
                <w:lang w:val="zh-CN"/>
              </w:rPr>
            </w:pPr>
            <w:r>
              <w:rPr>
                <w:rFonts w:hint="eastAsia" w:ascii="仿宋_GB2312" w:hAnsi="宋体" w:eastAsia="仿宋_GB2312" w:cs="仿宋_GB2312"/>
                <w:kern w:val="0"/>
                <w:position w:val="10"/>
                <w:sz w:val="24"/>
                <w:szCs w:val="24"/>
                <w:lang w:val="zh-CN"/>
              </w:rPr>
              <w:t>16</w:t>
            </w:r>
          </w:p>
        </w:tc>
        <w:tc>
          <w:tcPr>
            <w:tcW w:w="1797" w:type="dxa"/>
            <w:vAlign w:val="center"/>
          </w:tcPr>
          <w:p>
            <w:pPr>
              <w:tabs>
                <w:tab w:val="left" w:pos="426"/>
                <w:tab w:val="left" w:pos="709"/>
              </w:tabs>
              <w:topLinePunct/>
              <w:adjustRightInd w:val="0"/>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汽车保险</w:t>
            </w:r>
          </w:p>
        </w:tc>
        <w:tc>
          <w:tcPr>
            <w:tcW w:w="5724" w:type="dxa"/>
            <w:vAlign w:val="center"/>
          </w:tcPr>
          <w:p>
            <w:pPr>
              <w:snapToGrid w:val="0"/>
              <w:spacing w:beforeLines="0" w:line="240" w:lineRule="auto"/>
              <w:ind w:firstLine="240" w:firstLineChars="100"/>
              <w:rPr>
                <w:rFonts w:ascii="仿宋_GB2312" w:hAnsi="仿宋" w:eastAsia="仿宋_GB2312" w:cs="仿宋_GB2312"/>
                <w:sz w:val="24"/>
                <w:szCs w:val="24"/>
              </w:rPr>
            </w:pPr>
            <w:r>
              <w:rPr>
                <w:rFonts w:ascii="仿宋_GB2312" w:hAnsi="仿宋" w:eastAsia="仿宋_GB2312" w:cs="仿宋_GB2312"/>
                <w:sz w:val="24"/>
                <w:szCs w:val="24"/>
              </w:rPr>
              <w:t>以汽车保险、汽车保险投保、汽车保险理赔为主线，结合汽车保险的典型案例，对汽车保险与理赔的基本知识和操作进行了详细的介绍。主要内容包括：汽车保险概述、机动车交通事故责任强制保险、机动车商业保险、汽车投保实务、汽车碰撞损失评估、汽车保险与理赔案例分析。</w:t>
            </w:r>
          </w:p>
        </w:tc>
        <w:tc>
          <w:tcPr>
            <w:tcW w:w="745" w:type="dxa"/>
            <w:vAlign w:val="center"/>
          </w:tcPr>
          <w:p>
            <w:pPr>
              <w:tabs>
                <w:tab w:val="left" w:pos="426"/>
                <w:tab w:val="left" w:pos="709"/>
              </w:tabs>
              <w:topLinePunct/>
              <w:adjustRightInd w:val="0"/>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44" w:type="dxa"/>
            <w:gridSpan w:val="3"/>
            <w:vAlign w:val="center"/>
          </w:tcPr>
          <w:p>
            <w:pPr>
              <w:snapToGrid w:val="0"/>
              <w:spacing w:beforeLines="0" w:line="240" w:lineRule="auto"/>
              <w:ind w:firstLine="240" w:firstLineChars="100"/>
              <w:jc w:val="center"/>
              <w:rPr>
                <w:rFonts w:ascii="仿宋_GB2312" w:hAnsi="仿宋" w:eastAsia="仿宋_GB2312" w:cs="仿宋_GB2312"/>
                <w:sz w:val="24"/>
                <w:szCs w:val="24"/>
              </w:rPr>
            </w:pPr>
            <w:r>
              <w:rPr>
                <w:rFonts w:hint="eastAsia" w:ascii="仿宋_GB2312" w:hAnsi="仿宋" w:eastAsia="仿宋_GB2312" w:cs="仿宋_GB2312"/>
                <w:sz w:val="24"/>
                <w:szCs w:val="24"/>
              </w:rPr>
              <w:t>合计</w:t>
            </w:r>
          </w:p>
        </w:tc>
        <w:tc>
          <w:tcPr>
            <w:tcW w:w="745" w:type="dxa"/>
            <w:vAlign w:val="center"/>
          </w:tcPr>
          <w:p>
            <w:pPr>
              <w:tabs>
                <w:tab w:val="left" w:pos="426"/>
                <w:tab w:val="left" w:pos="709"/>
              </w:tabs>
              <w:topLinePunct/>
              <w:adjustRightInd w:val="0"/>
              <w:snapToGrid w:val="0"/>
              <w:spacing w:beforeLines="0" w:line="240" w:lineRule="auto"/>
              <w:jc w:val="center"/>
              <w:rPr>
                <w:rFonts w:hint="default" w:ascii="仿宋_GB2312" w:hAnsi="仿宋" w:eastAsia="仿宋_GB2312" w:cs="仿宋_GB2312"/>
                <w:sz w:val="24"/>
                <w:szCs w:val="24"/>
                <w:lang w:val="en-US" w:eastAsia="zh-CN"/>
              </w:rPr>
            </w:pPr>
            <w:r>
              <w:rPr>
                <w:rFonts w:hint="eastAsia" w:ascii="仿宋_GB2312" w:hAnsi="仿宋" w:eastAsia="仿宋_GB2312" w:cs="仿宋_GB2312"/>
                <w:sz w:val="24"/>
                <w:szCs w:val="24"/>
              </w:rPr>
              <w:t>12</w:t>
            </w:r>
            <w:r>
              <w:rPr>
                <w:rFonts w:hint="eastAsia" w:ascii="仿宋_GB2312" w:hAnsi="仿宋" w:eastAsia="仿宋_GB2312" w:cs="仿宋_GB2312"/>
                <w:sz w:val="24"/>
                <w:szCs w:val="24"/>
                <w:lang w:val="en-US" w:eastAsia="zh-CN"/>
              </w:rPr>
              <w:t>60</w:t>
            </w:r>
          </w:p>
        </w:tc>
      </w:tr>
      <w:bookmarkEnd w:id="56"/>
      <w:bookmarkEnd w:id="57"/>
    </w:tbl>
    <w:p>
      <w:pPr>
        <w:pStyle w:val="45"/>
        <w:snapToGrid w:val="0"/>
        <w:ind w:firstLine="562"/>
        <w:rPr>
          <w:rFonts w:ascii="仿宋_GB2312" w:eastAsia="仿宋_GB2312"/>
          <w:b/>
          <w:sz w:val="28"/>
          <w:szCs w:val="28"/>
        </w:rPr>
      </w:pPr>
      <w:bookmarkStart w:id="58" w:name="_Toc423456552"/>
      <w:bookmarkStart w:id="59" w:name="_Toc423456813"/>
      <w:r>
        <w:rPr>
          <w:rFonts w:hint="eastAsia" w:ascii="仿宋_GB2312" w:eastAsia="仿宋_GB2312"/>
          <w:b/>
          <w:sz w:val="28"/>
          <w:szCs w:val="28"/>
        </w:rPr>
        <w:t>2.企业实</w:t>
      </w:r>
      <w:bookmarkEnd w:id="58"/>
      <w:bookmarkEnd w:id="59"/>
      <w:r>
        <w:rPr>
          <w:rFonts w:hint="eastAsia" w:ascii="仿宋_GB2312" w:eastAsia="仿宋_GB2312"/>
          <w:b/>
          <w:sz w:val="28"/>
          <w:szCs w:val="28"/>
        </w:rPr>
        <w:t>习</w:t>
      </w:r>
    </w:p>
    <w:tbl>
      <w:tblPr>
        <w:tblStyle w:val="1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85"/>
        <w:gridCol w:w="5838"/>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shd w:val="clear" w:color="auto" w:fill="FFFFFF"/>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序号</w:t>
            </w:r>
          </w:p>
        </w:tc>
        <w:tc>
          <w:tcPr>
            <w:tcW w:w="1285" w:type="dxa"/>
            <w:shd w:val="clear" w:color="auto" w:fill="FFFFFF"/>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课程名称</w:t>
            </w:r>
          </w:p>
        </w:tc>
        <w:tc>
          <w:tcPr>
            <w:tcW w:w="5838" w:type="dxa"/>
            <w:shd w:val="clear" w:color="auto" w:fill="FFFFFF"/>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主要教学内容和要求</w:t>
            </w:r>
          </w:p>
        </w:tc>
        <w:tc>
          <w:tcPr>
            <w:tcW w:w="874" w:type="dxa"/>
            <w:shd w:val="clear" w:color="auto" w:fill="FFFFFF"/>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vAlign w:val="center"/>
          </w:tcPr>
          <w:p>
            <w:pPr>
              <w:snapToGrid w:val="0"/>
              <w:spacing w:beforeLines="0" w:line="240" w:lineRule="auto"/>
              <w:jc w:val="center"/>
              <w:rPr>
                <w:rFonts w:ascii="仿宋_GB2312" w:hAnsi="仿宋" w:eastAsia="仿宋_GB2312" w:cs="仿宋_GB2312"/>
              </w:rPr>
            </w:pPr>
            <w:r>
              <w:rPr>
                <w:rFonts w:hint="eastAsia" w:ascii="仿宋_GB2312" w:hAnsi="仿宋" w:eastAsia="仿宋_GB2312" w:cs="仿宋_GB2312"/>
              </w:rPr>
              <w:t>1</w:t>
            </w:r>
          </w:p>
        </w:tc>
        <w:tc>
          <w:tcPr>
            <w:tcW w:w="1285" w:type="dxa"/>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岗位实习</w:t>
            </w:r>
          </w:p>
        </w:tc>
        <w:tc>
          <w:tcPr>
            <w:tcW w:w="5838" w:type="dxa"/>
            <w:vAlign w:val="center"/>
          </w:tcPr>
          <w:p>
            <w:pPr>
              <w:snapToGrid w:val="0"/>
              <w:spacing w:beforeLines="0" w:line="240" w:lineRule="auto"/>
              <w:ind w:firstLine="240" w:firstLineChars="100"/>
              <w:rPr>
                <w:rFonts w:ascii="仿宋_GB2312" w:hAnsi="仿宋" w:eastAsia="仿宋_GB2312" w:cs="仿宋_GB2312"/>
                <w:sz w:val="24"/>
                <w:szCs w:val="24"/>
              </w:rPr>
            </w:pPr>
            <w:r>
              <w:rPr>
                <w:rFonts w:hint="eastAsia" w:ascii="仿宋_GB2312" w:hAnsi="仿宋" w:eastAsia="仿宋_GB2312" w:cs="仿宋_GB2312"/>
                <w:sz w:val="24"/>
                <w:szCs w:val="24"/>
              </w:rPr>
              <w:t>根据学校教学计划的要求，在规定的教学时限内，按照学校实习教学计划的安排，在企事业单位相关实践岗位上进行的实践学习活动</w:t>
            </w:r>
          </w:p>
        </w:tc>
        <w:tc>
          <w:tcPr>
            <w:tcW w:w="874" w:type="dxa"/>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843" w:type="dxa"/>
            <w:gridSpan w:val="3"/>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合计</w:t>
            </w:r>
          </w:p>
        </w:tc>
        <w:tc>
          <w:tcPr>
            <w:tcW w:w="874" w:type="dxa"/>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540</w:t>
            </w:r>
          </w:p>
        </w:tc>
      </w:tr>
    </w:tbl>
    <w:p>
      <w:pPr>
        <w:snapToGrid w:val="0"/>
        <w:spacing w:beforeLines="0" w:line="360" w:lineRule="auto"/>
        <w:ind w:firstLine="480" w:firstLineChars="200"/>
        <w:rPr>
          <w:rFonts w:ascii="仿宋_GB2312" w:eastAsia="仿宋_GB2312" w:cs="仿宋_GB2312"/>
          <w:sz w:val="24"/>
          <w:szCs w:val="24"/>
        </w:rPr>
      </w:pPr>
      <w:bookmarkStart w:id="60" w:name="_Toc423456553"/>
      <w:bookmarkStart w:id="61" w:name="_Toc423456814"/>
    </w:p>
    <w:p>
      <w:pPr>
        <w:snapToGrid w:val="0"/>
        <w:spacing w:beforeLines="0" w:line="360" w:lineRule="auto"/>
        <w:ind w:firstLine="562" w:firstLineChars="200"/>
        <w:rPr>
          <w:rFonts w:ascii="仿宋_GB2312" w:eastAsia="仿宋_GB2312"/>
          <w:b/>
        </w:rPr>
      </w:pPr>
      <w:r>
        <w:rPr>
          <w:rFonts w:hint="eastAsia" w:ascii="仿宋_GB2312" w:eastAsia="仿宋_GB2312" w:cs="仿宋_GB2312"/>
          <w:b/>
        </w:rPr>
        <w:t>3.</w:t>
      </w:r>
      <w:bookmarkEnd w:id="60"/>
      <w:bookmarkEnd w:id="61"/>
      <w:r>
        <w:rPr>
          <w:rFonts w:hint="eastAsia" w:ascii="仿宋_GB2312" w:hAnsi="仿宋" w:eastAsia="仿宋_GB2312" w:cs="仿宋_GB2312"/>
          <w:color w:val="FF0000"/>
          <w:sz w:val="24"/>
          <w:szCs w:val="24"/>
        </w:rPr>
        <w:t xml:space="preserve"> </w:t>
      </w:r>
      <w:r>
        <w:rPr>
          <w:rFonts w:hint="eastAsia" w:ascii="仿宋_GB2312" w:eastAsia="仿宋_GB2312" w:cs="仿宋_GB2312"/>
          <w:b/>
        </w:rPr>
        <w:t>岗位实习</w:t>
      </w:r>
    </w:p>
    <w:p>
      <w:pPr>
        <w:snapToGrid w:val="0"/>
        <w:spacing w:beforeLines="0" w:line="360" w:lineRule="auto"/>
        <w:ind w:firstLine="560" w:firstLineChars="200"/>
        <w:jc w:val="left"/>
        <w:rPr>
          <w:rFonts w:ascii="仿宋_GB2312" w:hAnsi="宋体" w:eastAsia="仿宋_GB2312"/>
        </w:rPr>
      </w:pPr>
      <w:r>
        <w:rPr>
          <w:rFonts w:hint="eastAsia" w:ascii="仿宋_GB2312" w:hAnsi="仿宋" w:eastAsia="仿宋_GB2312" w:cs="仿宋_GB2312"/>
        </w:rPr>
        <w:t>毕业前岗位实习是教学过程最终阶段的重要实践环节。顶岗实习的主要内容是指学生根据学校教学计划的要求，在规定的教学时限内，按照学校实习教学计划的安排，在企事业单位相关实践岗位上进行的实践学习活动，包括实习、预就业和已签定就业协议的提前就业等。通过顶岗实习，使学生走向社会，接触本专业工作，拓宽知识面，增强感性认识，培养、锻炼学生综合运用所学的专业知识和基本技能，去独立分析和解决实际问题的能力，把理论和实践结合起来，提高实践动手能力；培养学生热爱劳动、不怕苦、不怕累的工作作风；培养、锻炼学生交流、沟通能力和团队精神，实现学生由学校向社会的转变。同时可以检验教学效果，为进一步提高教育教学质量，培养合格人才积累经验</w:t>
      </w:r>
      <w:r>
        <w:rPr>
          <w:rFonts w:hint="eastAsia" w:ascii="仿宋_GB2312" w:hAnsi="宋体" w:eastAsia="仿宋_GB2312" w:cs="仿宋_GB2312"/>
        </w:rPr>
        <w:t>。</w:t>
      </w:r>
    </w:p>
    <w:p>
      <w:pPr>
        <w:pStyle w:val="45"/>
        <w:snapToGrid w:val="0"/>
        <w:spacing w:line="360" w:lineRule="auto"/>
        <w:ind w:firstLine="643"/>
        <w:outlineLvl w:val="0"/>
        <w:rPr>
          <w:rFonts w:ascii="仿宋_GB2312" w:eastAsia="仿宋_GB2312"/>
          <w:b/>
          <w:sz w:val="32"/>
          <w:szCs w:val="32"/>
        </w:rPr>
      </w:pPr>
      <w:bookmarkStart w:id="62" w:name="_Toc423458259"/>
      <w:bookmarkStart w:id="63" w:name="_Toc437332767"/>
      <w:bookmarkStart w:id="64" w:name="_Toc421211156"/>
      <w:bookmarkStart w:id="65" w:name="_Toc438974530"/>
      <w:r>
        <w:rPr>
          <w:rFonts w:hint="eastAsia" w:ascii="仿宋_GB2312" w:eastAsia="仿宋_GB2312"/>
          <w:b/>
          <w:sz w:val="32"/>
          <w:szCs w:val="32"/>
        </w:rPr>
        <w:t>十、</w:t>
      </w:r>
      <w:bookmarkEnd w:id="62"/>
      <w:bookmarkEnd w:id="63"/>
      <w:bookmarkEnd w:id="64"/>
      <w:bookmarkStart w:id="66" w:name="_Toc421211157"/>
      <w:bookmarkStart w:id="67" w:name="_Toc437332768"/>
      <w:bookmarkStart w:id="68" w:name="_Toc423458260"/>
      <w:r>
        <w:rPr>
          <w:rFonts w:hint="eastAsia" w:ascii="仿宋_GB2312" w:eastAsia="仿宋_GB2312"/>
          <w:b/>
          <w:sz w:val="32"/>
          <w:szCs w:val="32"/>
        </w:rPr>
        <w:t>教学安排与教学进程表</w:t>
      </w:r>
      <w:bookmarkEnd w:id="65"/>
    </w:p>
    <w:p>
      <w:pPr>
        <w:pStyle w:val="45"/>
        <w:snapToGrid w:val="0"/>
        <w:spacing w:line="360" w:lineRule="auto"/>
        <w:ind w:firstLine="602"/>
        <w:outlineLvl w:val="1"/>
        <w:rPr>
          <w:rFonts w:ascii="仿宋_GB2312" w:eastAsia="仿宋_GB2312"/>
          <w:b/>
          <w:sz w:val="30"/>
          <w:szCs w:val="30"/>
        </w:rPr>
      </w:pPr>
      <w:bookmarkStart w:id="69" w:name="_Toc438974531"/>
      <w:r>
        <w:rPr>
          <w:rFonts w:hint="eastAsia" w:ascii="仿宋_GB2312" w:eastAsia="仿宋_GB2312"/>
          <w:b/>
          <w:sz w:val="30"/>
          <w:szCs w:val="30"/>
        </w:rPr>
        <w:t>（一）基本要求</w:t>
      </w:r>
      <w:bookmarkEnd w:id="66"/>
      <w:bookmarkEnd w:id="67"/>
      <w:bookmarkEnd w:id="68"/>
      <w:bookmarkEnd w:id="69"/>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每学年为52周，其中教学时间36周（含复习考试），累计假期16周，周学时为28学时，岗位实习按每周30小时（1小时折合1学时）安排，3年总学时数为3000～3300。</w:t>
      </w:r>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一般18学时为1学分，3年制总学分不得少于170。军训、社会实践、入学教育、毕业教育等活动以1周为1学分，共5学分。</w:t>
      </w:r>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公共基础课学时约占总学时1/3,允许根据行业人才培养的实际需要在规定的范围内适当调整，但必须保证学生修完公共基础课的必修内容和学时。</w:t>
      </w:r>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专业技能课学时约占总学时的2/3，在确保学生实习总量的前提下，可根据实际需要集中或分阶段安排实习时间，行业企业认知实习应安排在第一学年。</w:t>
      </w:r>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课程设置中应设选修课。</w:t>
      </w:r>
    </w:p>
    <w:bookmarkEnd w:id="4"/>
    <w:p>
      <w:pPr>
        <w:snapToGrid w:val="0"/>
        <w:spacing w:beforeLines="0" w:line="360" w:lineRule="auto"/>
        <w:ind w:firstLine="602" w:firstLineChars="200"/>
        <w:jc w:val="left"/>
        <w:outlineLvl w:val="1"/>
        <w:rPr>
          <w:rFonts w:ascii="仿宋_GB2312" w:eastAsia="仿宋_GB2312"/>
          <w:b/>
          <w:sz w:val="30"/>
          <w:szCs w:val="30"/>
        </w:rPr>
      </w:pPr>
      <w:bookmarkStart w:id="70" w:name="_Toc421211158"/>
      <w:bookmarkStart w:id="71" w:name="_Toc423458261"/>
      <w:bookmarkStart w:id="72" w:name="_Toc437330964"/>
      <w:bookmarkStart w:id="73" w:name="_Toc438974532"/>
      <w:bookmarkStart w:id="74" w:name="_Toc3100"/>
      <w:r>
        <w:rPr>
          <w:rFonts w:hint="eastAsia" w:ascii="仿宋_GB2312" w:eastAsia="仿宋_GB2312"/>
          <w:b/>
          <w:sz w:val="30"/>
          <w:szCs w:val="30"/>
        </w:rPr>
        <w:t>（二）教学</w:t>
      </w:r>
      <w:bookmarkEnd w:id="70"/>
      <w:bookmarkEnd w:id="71"/>
      <w:bookmarkEnd w:id="72"/>
      <w:r>
        <w:rPr>
          <w:rFonts w:hint="eastAsia" w:ascii="仿宋_GB2312" w:eastAsia="仿宋_GB2312"/>
          <w:b/>
          <w:sz w:val="30"/>
          <w:szCs w:val="30"/>
        </w:rPr>
        <w:t>进程表</w:t>
      </w:r>
      <w:bookmarkEnd w:id="73"/>
    </w:p>
    <w:p>
      <w:pPr>
        <w:snapToGrid w:val="0"/>
        <w:spacing w:beforeLines="0" w:line="360" w:lineRule="auto"/>
        <w:jc w:val="center"/>
        <w:rPr>
          <w:rFonts w:ascii="仿宋_GB2312" w:eastAsia="仿宋_GB2312"/>
          <w:b/>
        </w:rPr>
      </w:pPr>
      <w:r>
        <w:rPr>
          <w:rFonts w:hint="eastAsia" w:ascii="仿宋_GB2312" w:eastAsia="仿宋_GB2312"/>
          <w:b/>
        </w:rPr>
        <w:t>教学进程表</w:t>
      </w:r>
      <w:bookmarkStart w:id="75" w:name="_Toc425766619"/>
    </w:p>
    <w:tbl>
      <w:tblPr>
        <w:tblStyle w:val="18"/>
        <w:tblW w:w="5000" w:type="pct"/>
        <w:tblInd w:w="0" w:type="dxa"/>
        <w:tblLayout w:type="autofit"/>
        <w:tblCellMar>
          <w:top w:w="0" w:type="dxa"/>
          <w:left w:w="108" w:type="dxa"/>
          <w:bottom w:w="0" w:type="dxa"/>
          <w:right w:w="108" w:type="dxa"/>
        </w:tblCellMar>
      </w:tblPr>
      <w:tblGrid>
        <w:gridCol w:w="587"/>
        <w:gridCol w:w="1252"/>
        <w:gridCol w:w="592"/>
        <w:gridCol w:w="1309"/>
        <w:gridCol w:w="594"/>
        <w:gridCol w:w="659"/>
        <w:gridCol w:w="592"/>
        <w:gridCol w:w="592"/>
        <w:gridCol w:w="592"/>
        <w:gridCol w:w="592"/>
        <w:gridCol w:w="592"/>
        <w:gridCol w:w="575"/>
      </w:tblGrid>
      <w:tr>
        <w:tblPrEx>
          <w:tblCellMar>
            <w:top w:w="0" w:type="dxa"/>
            <w:left w:w="108" w:type="dxa"/>
            <w:bottom w:w="0" w:type="dxa"/>
            <w:right w:w="108" w:type="dxa"/>
          </w:tblCellMar>
        </w:tblPrEx>
        <w:trPr>
          <w:trHeight w:val="285" w:hRule="atLeast"/>
        </w:trPr>
        <w:tc>
          <w:tcPr>
            <w:tcW w:w="1078" w:type="pct"/>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bookmarkStart w:id="76" w:name="_Toc437332771"/>
            <w:r>
              <w:rPr>
                <w:rFonts w:hint="eastAsia" w:ascii="仿宋_GB2312" w:hAnsi="宋体" w:eastAsia="仿宋_GB2312" w:cs="宋体"/>
                <w:b/>
                <w:kern w:val="0"/>
                <w:sz w:val="21"/>
                <w:szCs w:val="21"/>
              </w:rPr>
              <w:t>课程类型</w:t>
            </w:r>
          </w:p>
        </w:tc>
        <w:tc>
          <w:tcPr>
            <w:tcW w:w="347" w:type="pct"/>
            <w:vMerge w:val="restart"/>
            <w:tcBorders>
              <w:top w:val="single" w:color="auto" w:sz="8" w:space="0"/>
              <w:left w:val="single" w:color="000000" w:sz="8" w:space="0"/>
              <w:bottom w:val="single" w:color="000000"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序号</w:t>
            </w:r>
          </w:p>
        </w:tc>
        <w:tc>
          <w:tcPr>
            <w:tcW w:w="767"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课程名称</w:t>
            </w:r>
          </w:p>
        </w:tc>
        <w:tc>
          <w:tcPr>
            <w:tcW w:w="348"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学分</w:t>
            </w:r>
          </w:p>
        </w:tc>
        <w:tc>
          <w:tcPr>
            <w:tcW w:w="386"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总学时</w:t>
            </w:r>
          </w:p>
        </w:tc>
        <w:tc>
          <w:tcPr>
            <w:tcW w:w="2072" w:type="pct"/>
            <w:gridSpan w:val="6"/>
            <w:tcBorders>
              <w:top w:val="single" w:color="auto" w:sz="8" w:space="0"/>
              <w:left w:val="nil"/>
              <w:bottom w:val="single" w:color="auto"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周学时</w:t>
            </w:r>
          </w:p>
        </w:tc>
      </w:tr>
      <w:tr>
        <w:tblPrEx>
          <w:tblCellMar>
            <w:top w:w="0" w:type="dxa"/>
            <w:left w:w="108" w:type="dxa"/>
            <w:bottom w:w="0" w:type="dxa"/>
            <w:right w:w="108" w:type="dxa"/>
          </w:tblCellMar>
        </w:tblPrEx>
        <w:trPr>
          <w:trHeight w:val="285" w:hRule="atLeast"/>
        </w:trPr>
        <w:tc>
          <w:tcPr>
            <w:tcW w:w="1078" w:type="pct"/>
            <w:gridSpan w:val="2"/>
            <w:vMerge w:val="continue"/>
            <w:tcBorders>
              <w:top w:val="single" w:color="auto"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b/>
                <w:kern w:val="0"/>
                <w:sz w:val="21"/>
                <w:szCs w:val="21"/>
              </w:rPr>
            </w:pPr>
          </w:p>
        </w:tc>
        <w:tc>
          <w:tcPr>
            <w:tcW w:w="347" w:type="pct"/>
            <w:vMerge w:val="continue"/>
            <w:tcBorders>
              <w:top w:val="single" w:color="auto" w:sz="8" w:space="0"/>
              <w:left w:val="single" w:color="000000"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b/>
                <w:kern w:val="0"/>
                <w:sz w:val="21"/>
                <w:szCs w:val="21"/>
              </w:rPr>
            </w:pPr>
          </w:p>
        </w:tc>
        <w:tc>
          <w:tcPr>
            <w:tcW w:w="767" w:type="pct"/>
            <w:vMerge w:val="continue"/>
            <w:tcBorders>
              <w:top w:val="single" w:color="auto" w:sz="8" w:space="0"/>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b/>
                <w:kern w:val="0"/>
                <w:sz w:val="21"/>
                <w:szCs w:val="21"/>
              </w:rPr>
            </w:pPr>
          </w:p>
        </w:tc>
        <w:tc>
          <w:tcPr>
            <w:tcW w:w="348" w:type="pct"/>
            <w:vMerge w:val="continue"/>
            <w:tcBorders>
              <w:top w:val="single" w:color="auto" w:sz="8" w:space="0"/>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b/>
                <w:kern w:val="0"/>
                <w:sz w:val="21"/>
                <w:szCs w:val="21"/>
              </w:rPr>
            </w:pPr>
          </w:p>
        </w:tc>
        <w:tc>
          <w:tcPr>
            <w:tcW w:w="386" w:type="pct"/>
            <w:vMerge w:val="continue"/>
            <w:tcBorders>
              <w:top w:val="single" w:color="auto" w:sz="8" w:space="0"/>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b/>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学期一</w:t>
            </w: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学期二</w:t>
            </w: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学期三</w:t>
            </w: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学期四</w:t>
            </w: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学期五</w:t>
            </w:r>
          </w:p>
        </w:tc>
        <w:tc>
          <w:tcPr>
            <w:tcW w:w="33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学期六</w:t>
            </w:r>
          </w:p>
        </w:tc>
      </w:tr>
      <w:tr>
        <w:tblPrEx>
          <w:tblCellMar>
            <w:top w:w="0" w:type="dxa"/>
            <w:left w:w="108" w:type="dxa"/>
            <w:bottom w:w="0" w:type="dxa"/>
            <w:right w:w="108" w:type="dxa"/>
          </w:tblCellMar>
        </w:tblPrEx>
        <w:trPr>
          <w:trHeight w:val="525" w:hRule="atLeast"/>
        </w:trPr>
        <w:tc>
          <w:tcPr>
            <w:tcW w:w="344" w:type="pct"/>
            <w:vMerge w:val="restart"/>
            <w:tcBorders>
              <w:top w:val="nil"/>
              <w:left w:val="single" w:color="auto" w:sz="8" w:space="0"/>
              <w:bottom w:val="single" w:color="000000"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公共基础课</w:t>
            </w:r>
          </w:p>
        </w:tc>
        <w:tc>
          <w:tcPr>
            <w:tcW w:w="733" w:type="pct"/>
            <w:vMerge w:val="restart"/>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公共基础课</w:t>
            </w: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军训及入学教育</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1周</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525" w:hRule="atLeast"/>
        </w:trPr>
        <w:tc>
          <w:tcPr>
            <w:tcW w:w="344" w:type="pct"/>
            <w:vMerge w:val="continue"/>
            <w:tcBorders>
              <w:top w:val="nil"/>
              <w:left w:val="single" w:color="auto" w:sz="8" w:space="0"/>
              <w:bottom w:val="single" w:color="000000"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习近平新时代读本</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18</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52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中国特色社会主义</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18</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780"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心理健康与职业生涯</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52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4</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哲学与人生</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52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5</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职业道德与法治</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28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6</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语文</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11</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198</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28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7</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数学</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8</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144</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28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8</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英语</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8</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144</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28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9</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信息技术</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8</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144</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52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体育与健康</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10</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180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300"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11</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历史</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4</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72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300"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12</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艺术</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780"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 w:hAnsi="仿宋" w:cs="宋体"/>
                <w:kern w:val="0"/>
                <w:sz w:val="21"/>
                <w:szCs w:val="21"/>
              </w:rPr>
            </w:pPr>
            <w:r>
              <w:rPr>
                <w:rFonts w:hint="eastAsia" w:ascii="仿宋" w:hAnsi="仿宋" w:cs="宋体"/>
                <w:kern w:val="0"/>
                <w:sz w:val="21"/>
                <w:szCs w:val="21"/>
              </w:rPr>
              <w:t>13</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劳动与行为习惯养成教育</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10</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180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300"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111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小计（</w:t>
            </w:r>
            <w:r>
              <w:rPr>
                <w:rFonts w:hint="eastAsia" w:ascii="仿宋_GB2312" w:hAnsi="宋体" w:eastAsia="仿宋_GB2312" w:cs="宋体"/>
                <w:b/>
                <w:bCs/>
                <w:kern w:val="0"/>
                <w:sz w:val="21"/>
                <w:szCs w:val="21"/>
                <w:lang w:val="en-US" w:eastAsia="zh-CN"/>
              </w:rPr>
              <w:t>41.2</w:t>
            </w:r>
            <w:r>
              <w:rPr>
                <w:rFonts w:hint="eastAsia" w:ascii="仿宋_GB2312" w:hAnsi="宋体" w:eastAsia="仿宋_GB2312" w:cs="宋体"/>
                <w:b/>
                <w:bCs/>
                <w:kern w:val="0"/>
                <w:sz w:val="21"/>
                <w:szCs w:val="21"/>
              </w:rPr>
              <w:t>%）</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70</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1272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19</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19</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16</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11</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4</w:t>
            </w:r>
          </w:p>
        </w:tc>
        <w:tc>
          <w:tcPr>
            <w:tcW w:w="33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r>
      <w:tr>
        <w:tblPrEx>
          <w:tblCellMar>
            <w:top w:w="0" w:type="dxa"/>
            <w:left w:w="108" w:type="dxa"/>
            <w:bottom w:w="0" w:type="dxa"/>
            <w:right w:w="108" w:type="dxa"/>
          </w:tblCellMar>
        </w:tblPrEx>
        <w:trPr>
          <w:trHeight w:val="52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restart"/>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公共选修课(2选1)</w:t>
            </w: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rPr>
                <w:rFonts w:ascii="仿宋" w:hAnsi="仿宋" w:cs="宋体"/>
                <w:kern w:val="0"/>
                <w:sz w:val="21"/>
                <w:szCs w:val="21"/>
              </w:rPr>
            </w:pPr>
            <w:r>
              <w:rPr>
                <w:rFonts w:hint="eastAsia" w:ascii="仿宋" w:hAnsi="仿宋" w:cs="宋体"/>
                <w:kern w:val="0"/>
                <w:sz w:val="21"/>
                <w:szCs w:val="21"/>
              </w:rPr>
              <w:t>中华传统文化</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18</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2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rPr>
                <w:rFonts w:ascii="仿宋" w:hAnsi="仿宋" w:cs="宋体"/>
                <w:kern w:val="0"/>
                <w:sz w:val="21"/>
                <w:szCs w:val="21"/>
              </w:rPr>
            </w:pPr>
            <w:r>
              <w:rPr>
                <w:rFonts w:hint="eastAsia" w:ascii="仿宋" w:hAnsi="仿宋" w:cs="宋体"/>
                <w:kern w:val="0"/>
                <w:sz w:val="21"/>
                <w:szCs w:val="21"/>
              </w:rPr>
              <w:t>物理（拓展模块）</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18</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300"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111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小计（0.6%）</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18</w:t>
            </w: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b/>
                <w:bCs/>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300" w:hRule="atLeast"/>
        </w:trPr>
        <w:tc>
          <w:tcPr>
            <w:tcW w:w="344" w:type="pct"/>
            <w:vMerge w:val="restart"/>
            <w:tcBorders>
              <w:top w:val="nil"/>
              <w:left w:val="single" w:color="auto" w:sz="8" w:space="0"/>
              <w:bottom w:val="single" w:color="000000" w:sz="8" w:space="0"/>
              <w:right w:val="single" w:color="auto" w:sz="8" w:space="0"/>
            </w:tcBorders>
            <w:shd w:val="clear" w:color="auto" w:fill="auto"/>
            <w:vAlign w:val="center"/>
          </w:tcPr>
          <w:p>
            <w:pPr>
              <w:widowControl/>
              <w:spacing w:beforeLines="0" w:line="240" w:lineRule="auto"/>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rPr>
              <w:t>　</w:t>
            </w:r>
            <w:r>
              <w:rPr>
                <w:rFonts w:hint="eastAsia" w:ascii="仿宋_GB2312" w:hAnsi="宋体" w:eastAsia="仿宋_GB2312" w:cs="宋体"/>
                <w:kern w:val="0"/>
                <w:sz w:val="21"/>
                <w:szCs w:val="21"/>
                <w:lang w:eastAsia="zh-CN"/>
              </w:rPr>
              <w:t>专业技能课</w:t>
            </w:r>
          </w:p>
        </w:tc>
        <w:tc>
          <w:tcPr>
            <w:tcW w:w="733" w:type="pct"/>
            <w:vMerge w:val="restart"/>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专业核心课</w:t>
            </w: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汽车发动机构造与维修</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8</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144</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3</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5</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2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汽车识图</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4</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72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2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汽车钳工基本技能</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4</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72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2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4</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汽车运行材料</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80"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5</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汽车电气构造与维修</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4</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72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80"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6</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汽车底盘构造与维修</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4</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72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80"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7</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汽车维护与保养</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4</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72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r>
      <w:tr>
        <w:tblPrEx>
          <w:tblCellMar>
            <w:top w:w="0" w:type="dxa"/>
            <w:left w:w="108" w:type="dxa"/>
            <w:bottom w:w="0" w:type="dxa"/>
            <w:right w:w="108" w:type="dxa"/>
          </w:tblCellMar>
        </w:tblPrEx>
        <w:trPr>
          <w:trHeight w:val="52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8</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汽车电控维修</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4</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72</w:t>
            </w: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r>
      <w:tr>
        <w:tblPrEx>
          <w:tblCellMar>
            <w:top w:w="0" w:type="dxa"/>
            <w:left w:w="108" w:type="dxa"/>
            <w:bottom w:w="0" w:type="dxa"/>
            <w:right w:w="108" w:type="dxa"/>
          </w:tblCellMar>
        </w:tblPrEx>
        <w:trPr>
          <w:trHeight w:val="52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9</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汽车空调</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4</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72</w:t>
            </w: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r>
      <w:tr>
        <w:tblPrEx>
          <w:tblCellMar>
            <w:top w:w="0" w:type="dxa"/>
            <w:left w:w="108" w:type="dxa"/>
            <w:bottom w:w="0" w:type="dxa"/>
            <w:right w:w="108" w:type="dxa"/>
          </w:tblCellMar>
        </w:tblPrEx>
        <w:trPr>
          <w:trHeight w:val="300"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1+X考证培训</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4</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72</w:t>
            </w: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2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11</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汽车营销</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6</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108</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6</w:t>
            </w: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300"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12</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汽车美容</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6</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108</w:t>
            </w: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6</w:t>
            </w: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300"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13</w:t>
            </w:r>
          </w:p>
        </w:tc>
        <w:tc>
          <w:tcPr>
            <w:tcW w:w="767" w:type="pct"/>
            <w:tcBorders>
              <w:top w:val="nil"/>
              <w:left w:val="nil"/>
              <w:bottom w:val="single" w:color="auto" w:sz="8" w:space="0"/>
              <w:right w:val="single" w:color="auto" w:sz="8" w:space="0"/>
            </w:tcBorders>
            <w:shd w:val="clear" w:color="auto" w:fill="auto"/>
            <w:vAlign w:val="bottom"/>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新能源汽车辅助系统</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6</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108</w:t>
            </w: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6</w:t>
            </w: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80"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14</w:t>
            </w:r>
          </w:p>
        </w:tc>
        <w:tc>
          <w:tcPr>
            <w:tcW w:w="767" w:type="pct"/>
            <w:tcBorders>
              <w:top w:val="nil"/>
              <w:left w:val="nil"/>
              <w:bottom w:val="single" w:color="auto" w:sz="8" w:space="0"/>
              <w:right w:val="single" w:color="auto" w:sz="8" w:space="0"/>
            </w:tcBorders>
            <w:shd w:val="clear" w:color="auto" w:fill="auto"/>
            <w:vAlign w:val="bottom"/>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新能源汽车维护与诊断</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6</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108</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6</w:t>
            </w: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300"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111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小计（3</w:t>
            </w:r>
            <w:r>
              <w:rPr>
                <w:rFonts w:hint="eastAsia" w:ascii="仿宋_GB2312" w:hAnsi="宋体" w:eastAsia="仿宋_GB2312" w:cs="宋体"/>
                <w:b/>
                <w:bCs/>
                <w:kern w:val="0"/>
                <w:sz w:val="21"/>
                <w:szCs w:val="21"/>
                <w:lang w:val="en-US" w:eastAsia="zh-CN"/>
              </w:rPr>
              <w:t>8.4</w:t>
            </w:r>
            <w:r>
              <w:rPr>
                <w:rFonts w:hint="eastAsia" w:ascii="仿宋_GB2312" w:hAnsi="宋体" w:eastAsia="仿宋_GB2312" w:cs="宋体"/>
                <w:b/>
                <w:bCs/>
                <w:kern w:val="0"/>
                <w:sz w:val="21"/>
                <w:szCs w:val="21"/>
              </w:rPr>
              <w:t>%）</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66</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1188</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9</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9</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14</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24</w:t>
            </w:r>
          </w:p>
        </w:tc>
        <w:tc>
          <w:tcPr>
            <w:tcW w:w="33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r>
      <w:tr>
        <w:tblPrEx>
          <w:tblCellMar>
            <w:top w:w="0" w:type="dxa"/>
            <w:left w:w="108" w:type="dxa"/>
            <w:bottom w:w="0" w:type="dxa"/>
            <w:right w:w="108" w:type="dxa"/>
          </w:tblCellMar>
        </w:tblPrEx>
        <w:trPr>
          <w:trHeight w:val="780"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restart"/>
            <w:tcBorders>
              <w:top w:val="single" w:color="000000" w:sz="8" w:space="0"/>
              <w:left w:val="single" w:color="auto"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专业选修课</w:t>
            </w: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xml:space="preserve">新能源汽车认知与应用 </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r>
      <w:tr>
        <w:tblPrEx>
          <w:tblCellMar>
            <w:top w:w="0" w:type="dxa"/>
            <w:left w:w="108" w:type="dxa"/>
            <w:bottom w:w="0" w:type="dxa"/>
            <w:right w:w="108" w:type="dxa"/>
          </w:tblCellMar>
        </w:tblPrEx>
        <w:trPr>
          <w:trHeight w:val="300"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left w:val="single" w:color="auto"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w:t>
            </w:r>
          </w:p>
        </w:tc>
        <w:tc>
          <w:tcPr>
            <w:tcW w:w="76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汽车保险</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r>
      <w:tr>
        <w:tblPrEx>
          <w:tblCellMar>
            <w:top w:w="0" w:type="dxa"/>
            <w:left w:w="108" w:type="dxa"/>
            <w:bottom w:w="0" w:type="dxa"/>
            <w:right w:w="108" w:type="dxa"/>
          </w:tblCellMar>
        </w:tblPrEx>
        <w:trPr>
          <w:trHeight w:val="28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111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小计（2.3%）</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4</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72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b/>
                <w:bCs/>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84"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restart"/>
            <w:tcBorders>
              <w:top w:val="single" w:color="000000" w:sz="8" w:space="0"/>
              <w:left w:val="single" w:color="auto" w:sz="8" w:space="0"/>
              <w:right w:val="single" w:color="000000" w:sz="8" w:space="0"/>
            </w:tcBorders>
            <w:vAlign w:val="center"/>
          </w:tcPr>
          <w:p>
            <w:pPr>
              <w:widowControl/>
              <w:spacing w:beforeLines="0" w:line="240" w:lineRule="auto"/>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岗位实习</w:t>
            </w:r>
            <w:bookmarkStart w:id="128" w:name="_GoBack"/>
            <w:bookmarkEnd w:id="128"/>
          </w:p>
        </w:tc>
        <w:tc>
          <w:tcPr>
            <w:tcW w:w="347" w:type="pct"/>
            <w:tcBorders>
              <w:top w:val="nil"/>
              <w:left w:val="nil"/>
              <w:bottom w:val="single" w:color="auto" w:sz="8" w:space="0"/>
              <w:right w:val="nil"/>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767" w:type="pct"/>
            <w:tcBorders>
              <w:top w:val="nil"/>
              <w:left w:val="single" w:color="auto" w:sz="8" w:space="0"/>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岗位实习（17.4 %）</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30</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540</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3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18"/>
                <w:szCs w:val="18"/>
              </w:rPr>
            </w:pPr>
            <w:r>
              <w:rPr>
                <w:rFonts w:hint="eastAsia" w:ascii="仿宋_GB2312" w:hAnsi="宋体" w:eastAsia="仿宋_GB2312" w:cs="仿宋_GB2312"/>
                <w:i w:val="0"/>
                <w:iCs w:val="0"/>
                <w:color w:val="000000"/>
                <w:kern w:val="0"/>
                <w:sz w:val="18"/>
                <w:szCs w:val="18"/>
                <w:u w:val="none"/>
                <w:lang w:val="en-US" w:eastAsia="zh-CN" w:bidi="ar"/>
              </w:rPr>
              <w:t>30</w:t>
            </w:r>
          </w:p>
        </w:tc>
      </w:tr>
      <w:tr>
        <w:tblPrEx>
          <w:tblCellMar>
            <w:top w:w="0" w:type="dxa"/>
            <w:left w:w="108" w:type="dxa"/>
            <w:bottom w:w="0" w:type="dxa"/>
            <w:right w:w="108" w:type="dxa"/>
          </w:tblCellMar>
        </w:tblPrEx>
        <w:trPr>
          <w:trHeight w:val="285" w:hRule="atLeast"/>
        </w:trPr>
        <w:tc>
          <w:tcPr>
            <w:tcW w:w="344"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3" w:type="pct"/>
            <w:vMerge w:val="continue"/>
            <w:tcBorders>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2"/>
                <w:szCs w:val="22"/>
              </w:rPr>
            </w:pPr>
          </w:p>
        </w:tc>
        <w:tc>
          <w:tcPr>
            <w:tcW w:w="1114"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小计（</w:t>
            </w:r>
            <w:r>
              <w:rPr>
                <w:rFonts w:hint="eastAsia" w:ascii="仿宋_GB2312" w:hAnsi="宋体" w:eastAsia="仿宋_GB2312" w:cs="宋体"/>
                <w:b/>
                <w:bCs/>
                <w:kern w:val="0"/>
                <w:sz w:val="21"/>
                <w:szCs w:val="21"/>
                <w:lang w:val="en-US" w:eastAsia="zh-CN"/>
              </w:rPr>
              <w:t>17.5</w:t>
            </w:r>
            <w:r>
              <w:rPr>
                <w:rFonts w:hint="eastAsia" w:ascii="仿宋_GB2312" w:hAnsi="宋体" w:eastAsia="仿宋_GB2312" w:cs="宋体"/>
                <w:b/>
                <w:bCs/>
                <w:kern w:val="0"/>
                <w:sz w:val="21"/>
                <w:szCs w:val="21"/>
              </w:rPr>
              <w:t>%）</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30</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540</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Calibri" w:eastAsia="仿宋_GB2312" w:cs="Calibri"/>
                <w:b/>
                <w:bCs/>
                <w:kern w:val="0"/>
                <w:sz w:val="18"/>
                <w:szCs w:val="18"/>
              </w:rPr>
            </w:pPr>
          </w:p>
        </w:tc>
        <w:tc>
          <w:tcPr>
            <w:tcW w:w="33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Calibri" w:eastAsia="仿宋_GB2312" w:cs="Calibri"/>
                <w:b/>
                <w:bCs/>
                <w:kern w:val="0"/>
                <w:sz w:val="18"/>
                <w:szCs w:val="18"/>
              </w:rPr>
            </w:pPr>
            <w:r>
              <w:rPr>
                <w:rFonts w:hint="eastAsia" w:ascii="仿宋_GB2312" w:hAnsi="宋体" w:eastAsia="仿宋_GB2312" w:cs="仿宋_GB2312"/>
                <w:b/>
                <w:bCs/>
                <w:i w:val="0"/>
                <w:iCs w:val="0"/>
                <w:color w:val="000000"/>
                <w:kern w:val="0"/>
                <w:sz w:val="18"/>
                <w:szCs w:val="18"/>
                <w:u w:val="none"/>
                <w:lang w:val="en-US" w:eastAsia="zh-CN" w:bidi="ar"/>
              </w:rPr>
              <w:t>30</w:t>
            </w:r>
          </w:p>
        </w:tc>
      </w:tr>
      <w:tr>
        <w:tblPrEx>
          <w:tblCellMar>
            <w:top w:w="0" w:type="dxa"/>
            <w:left w:w="108" w:type="dxa"/>
            <w:bottom w:w="0" w:type="dxa"/>
            <w:right w:w="108" w:type="dxa"/>
          </w:tblCellMar>
        </w:tblPrEx>
        <w:trPr>
          <w:trHeight w:val="285" w:hRule="atLeast"/>
        </w:trPr>
        <w:tc>
          <w:tcPr>
            <w:tcW w:w="2192" w:type="pct"/>
            <w:gridSpan w:val="4"/>
            <w:tcBorders>
              <w:top w:val="nil"/>
              <w:left w:val="single" w:color="auto" w:sz="8" w:space="0"/>
              <w:bottom w:val="single" w:color="auto"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合计</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171</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3090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28</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28</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28</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28</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28</w:t>
            </w:r>
          </w:p>
        </w:tc>
        <w:tc>
          <w:tcPr>
            <w:tcW w:w="33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30</w:t>
            </w:r>
          </w:p>
        </w:tc>
      </w:tr>
    </w:tbl>
    <w:p>
      <w:pPr>
        <w:pStyle w:val="45"/>
        <w:snapToGrid w:val="0"/>
        <w:spacing w:line="240" w:lineRule="auto"/>
        <w:ind w:firstLine="240" w:firstLineChars="100"/>
        <w:rPr>
          <w:rFonts w:ascii="仿宋_GB2312" w:eastAsia="仿宋_GB2312" w:cs="仿宋_GB2312"/>
          <w:szCs w:val="24"/>
        </w:rPr>
      </w:pPr>
      <w:r>
        <w:rPr>
          <w:rFonts w:hint="eastAsia" w:ascii="仿宋_GB2312" w:eastAsia="仿宋_GB2312" w:cs="仿宋_GB2312"/>
          <w:szCs w:val="24"/>
        </w:rPr>
        <w:t>说明：</w:t>
      </w:r>
      <w:bookmarkEnd w:id="76"/>
    </w:p>
    <w:p>
      <w:pPr>
        <w:pStyle w:val="45"/>
        <w:snapToGrid w:val="0"/>
        <w:spacing w:line="240" w:lineRule="auto"/>
        <w:ind w:firstLine="240" w:firstLineChars="100"/>
        <w:rPr>
          <w:rFonts w:ascii="仿宋_GB2312" w:eastAsia="仿宋_GB2312" w:cs="仿宋_GB2312"/>
          <w:szCs w:val="24"/>
        </w:rPr>
      </w:pPr>
      <w:bookmarkStart w:id="77" w:name="_Toc437332772"/>
      <w:r>
        <w:rPr>
          <w:rFonts w:hint="eastAsia" w:ascii="仿宋_GB2312" w:eastAsia="仿宋_GB2312"/>
          <w:szCs w:val="24"/>
        </w:rPr>
        <w:t>1.</w:t>
      </w:r>
      <w:bookmarkEnd w:id="77"/>
      <w:bookmarkStart w:id="78" w:name="_Toc437332773"/>
      <w:r>
        <w:rPr>
          <w:rFonts w:hint="eastAsia" w:ascii="仿宋_GB2312" w:eastAsia="仿宋_GB2312" w:cs="仿宋_GB2312"/>
          <w:szCs w:val="24"/>
        </w:rPr>
        <w:t>岗位实习按“30课时/周”计算。</w:t>
      </w:r>
      <w:bookmarkEnd w:id="75"/>
      <w:bookmarkEnd w:id="78"/>
    </w:p>
    <w:p>
      <w:pPr>
        <w:pStyle w:val="45"/>
        <w:snapToGrid w:val="0"/>
        <w:spacing w:line="240" w:lineRule="auto"/>
        <w:ind w:firstLine="720" w:firstLineChars="300"/>
        <w:rPr>
          <w:rFonts w:ascii="仿宋_GB2312" w:eastAsia="仿宋_GB2312"/>
          <w:szCs w:val="24"/>
        </w:rPr>
      </w:pPr>
    </w:p>
    <w:p>
      <w:pPr>
        <w:pStyle w:val="45"/>
        <w:snapToGrid w:val="0"/>
        <w:spacing w:line="360" w:lineRule="auto"/>
        <w:ind w:firstLine="643"/>
        <w:outlineLvl w:val="0"/>
        <w:rPr>
          <w:rFonts w:ascii="仿宋_GB2312" w:eastAsia="仿宋_GB2312"/>
          <w:b/>
          <w:sz w:val="32"/>
          <w:szCs w:val="32"/>
        </w:rPr>
      </w:pPr>
      <w:bookmarkStart w:id="79" w:name="_Toc437330968"/>
      <w:bookmarkStart w:id="80" w:name="_Toc438974533"/>
      <w:bookmarkStart w:id="81" w:name="_Toc421211161"/>
      <w:bookmarkStart w:id="82" w:name="_Toc423458265"/>
      <w:r>
        <w:rPr>
          <w:rFonts w:hint="eastAsia" w:ascii="仿宋_GB2312" w:eastAsia="仿宋_GB2312"/>
          <w:b/>
          <w:sz w:val="32"/>
          <w:szCs w:val="32"/>
        </w:rPr>
        <w:t>十一、教学方法与考核评价</w:t>
      </w:r>
      <w:bookmarkEnd w:id="79"/>
      <w:bookmarkEnd w:id="80"/>
      <w:bookmarkEnd w:id="81"/>
      <w:bookmarkEnd w:id="82"/>
    </w:p>
    <w:p>
      <w:pPr>
        <w:snapToGrid w:val="0"/>
        <w:spacing w:beforeLines="0" w:line="360" w:lineRule="auto"/>
        <w:ind w:firstLine="602" w:firstLineChars="200"/>
        <w:jc w:val="left"/>
        <w:outlineLvl w:val="1"/>
        <w:rPr>
          <w:rFonts w:ascii="仿宋_GB2312" w:eastAsia="仿宋_GB2312"/>
          <w:b/>
          <w:sz w:val="30"/>
          <w:szCs w:val="30"/>
        </w:rPr>
      </w:pPr>
      <w:bookmarkStart w:id="83" w:name="_Toc438974534"/>
      <w:r>
        <w:rPr>
          <w:rFonts w:hint="eastAsia" w:ascii="仿宋_GB2312" w:eastAsia="仿宋_GB2312"/>
          <w:b/>
          <w:sz w:val="30"/>
          <w:szCs w:val="30"/>
        </w:rPr>
        <w:t>（一）教学方法</w:t>
      </w:r>
      <w:bookmarkEnd w:id="83"/>
    </w:p>
    <w:p>
      <w:pPr>
        <w:snapToGrid w:val="0"/>
        <w:spacing w:beforeLines="0" w:line="360" w:lineRule="auto"/>
        <w:ind w:firstLine="560" w:firstLineChars="200"/>
        <w:rPr>
          <w:rFonts w:ascii="仿宋_GB2312" w:eastAsia="仿宋_GB2312"/>
        </w:rPr>
      </w:pPr>
      <w:r>
        <w:rPr>
          <w:rFonts w:hint="eastAsia" w:ascii="仿宋_GB2312" w:eastAsia="仿宋_GB2312"/>
        </w:rPr>
        <w:t>积极探索任务驱动、项目导向、案例教学等教学方法，根据课程内容，选择典型任务、案例、项目作为教学课题，创设“生产情境”，实施理论与实践一体化教学，提高学生学习兴趣，挖掘学生的潜能，以利于学生的专业知识与职业能力的综合培养；以生本教育理念，设计岗位群训练工单，让学生在“做中学”系统掌握相关技能知识。加强训练项目研究，在充分体现生本教育理念基础上，有针对地设计相关技能训练工单，让学生在“做中学”，教师在“做中教”，充分激发学生主支学习、主动探究的能力。</w:t>
      </w:r>
    </w:p>
    <w:p>
      <w:pPr>
        <w:snapToGrid w:val="0"/>
        <w:spacing w:beforeLines="0" w:line="360" w:lineRule="auto"/>
        <w:ind w:firstLine="602" w:firstLineChars="200"/>
        <w:jc w:val="left"/>
        <w:outlineLvl w:val="1"/>
        <w:rPr>
          <w:rFonts w:ascii="仿宋_GB2312" w:eastAsia="仿宋_GB2312"/>
          <w:b/>
          <w:bCs/>
          <w:sz w:val="30"/>
          <w:szCs w:val="30"/>
        </w:rPr>
      </w:pPr>
      <w:bookmarkStart w:id="84" w:name="_Toc423458266"/>
      <w:bookmarkStart w:id="85" w:name="_Toc421211162"/>
      <w:bookmarkStart w:id="86" w:name="_Toc437332778"/>
      <w:bookmarkStart w:id="87" w:name="_Toc438974535"/>
      <w:r>
        <w:rPr>
          <w:rFonts w:hint="eastAsia" w:ascii="仿宋_GB2312" w:eastAsia="仿宋_GB2312" w:cs="仿宋_GB2312"/>
          <w:b/>
          <w:bCs/>
          <w:sz w:val="30"/>
          <w:szCs w:val="30"/>
        </w:rPr>
        <w:t>（二）考核</w:t>
      </w:r>
      <w:bookmarkEnd w:id="84"/>
      <w:bookmarkEnd w:id="85"/>
      <w:bookmarkEnd w:id="86"/>
      <w:r>
        <w:rPr>
          <w:rFonts w:hint="eastAsia" w:ascii="仿宋_GB2312" w:eastAsia="仿宋_GB2312" w:cs="仿宋_GB2312"/>
          <w:b/>
          <w:bCs/>
          <w:sz w:val="30"/>
          <w:szCs w:val="30"/>
        </w:rPr>
        <w:t>评价</w:t>
      </w:r>
      <w:bookmarkEnd w:id="87"/>
    </w:p>
    <w:p>
      <w:pPr>
        <w:snapToGrid w:val="0"/>
        <w:spacing w:beforeLines="0" w:line="360" w:lineRule="auto"/>
        <w:ind w:firstLine="560" w:firstLineChars="200"/>
        <w:jc w:val="left"/>
        <w:rPr>
          <w:rFonts w:ascii="仿宋_GB2312" w:hAnsi="Verdana" w:eastAsia="仿宋_GB2312"/>
        </w:rPr>
      </w:pPr>
      <w:r>
        <w:rPr>
          <w:rFonts w:hint="eastAsia" w:ascii="仿宋_GB2312" w:hAnsi="Verdana" w:eastAsia="仿宋_GB2312" w:cs="仿宋_GB2312"/>
        </w:rPr>
        <w:t>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pPr>
        <w:snapToGrid w:val="0"/>
        <w:spacing w:beforeLines="0" w:line="360" w:lineRule="auto"/>
        <w:ind w:firstLine="562" w:firstLineChars="200"/>
        <w:jc w:val="left"/>
        <w:rPr>
          <w:rFonts w:ascii="仿宋_GB2312" w:hAnsi="Verdana" w:eastAsia="仿宋_GB2312"/>
          <w:b/>
        </w:rPr>
      </w:pPr>
      <w:r>
        <w:rPr>
          <w:rFonts w:hint="eastAsia" w:ascii="仿宋_GB2312" w:hAnsi="Verdana" w:eastAsia="仿宋_GB2312" w:cs="仿宋_GB2312"/>
          <w:b/>
        </w:rPr>
        <w:t>1.过程性考核</w:t>
      </w:r>
    </w:p>
    <w:p>
      <w:pPr>
        <w:snapToGrid w:val="0"/>
        <w:spacing w:beforeLines="0" w:line="360" w:lineRule="auto"/>
        <w:ind w:firstLine="560" w:firstLineChars="200"/>
        <w:jc w:val="left"/>
        <w:rPr>
          <w:rFonts w:ascii="仿宋_GB2312" w:hAnsi="Verdana" w:eastAsia="仿宋_GB2312"/>
        </w:rPr>
      </w:pPr>
      <w:r>
        <w:rPr>
          <w:rFonts w:hint="eastAsia" w:ascii="仿宋_GB2312" w:hAnsi="Verdana" w:eastAsia="仿宋_GB2312" w:cs="仿宋_GB2312"/>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pPr>
        <w:snapToGrid w:val="0"/>
        <w:spacing w:beforeLines="0" w:line="360" w:lineRule="auto"/>
        <w:ind w:firstLine="602" w:firstLineChars="200"/>
        <w:jc w:val="left"/>
        <w:rPr>
          <w:rFonts w:ascii="仿宋_GB2312" w:hAnsi="Verdana" w:eastAsia="仿宋_GB2312"/>
          <w:b/>
          <w:sz w:val="30"/>
          <w:szCs w:val="30"/>
        </w:rPr>
      </w:pPr>
      <w:r>
        <w:rPr>
          <w:rFonts w:hint="eastAsia" w:ascii="仿宋_GB2312" w:hAnsi="Verdana" w:eastAsia="仿宋_GB2312" w:cs="仿宋_GB2312"/>
          <w:b/>
          <w:sz w:val="30"/>
          <w:szCs w:val="30"/>
        </w:rPr>
        <w:t>2.结果性考核</w:t>
      </w:r>
    </w:p>
    <w:p>
      <w:pPr>
        <w:snapToGrid w:val="0"/>
        <w:spacing w:beforeLines="0" w:line="360" w:lineRule="auto"/>
        <w:ind w:firstLine="560" w:firstLineChars="200"/>
        <w:jc w:val="left"/>
        <w:rPr>
          <w:rFonts w:ascii="仿宋_GB2312" w:hAnsi="Verdana" w:eastAsia="仿宋_GB2312"/>
        </w:rPr>
      </w:pPr>
      <w:r>
        <w:rPr>
          <w:rFonts w:hint="eastAsia" w:ascii="仿宋_GB2312" w:hAnsi="Verdana" w:eastAsia="仿宋_GB2312" w:cs="仿宋_GB2312"/>
        </w:rPr>
        <w:t>主要用于考核学生对课程知识的理解和掌握，通过期末考试或答辩等方式来进行考核评价。</w:t>
      </w:r>
    </w:p>
    <w:p>
      <w:pPr>
        <w:snapToGrid w:val="0"/>
        <w:spacing w:beforeLines="0" w:line="360" w:lineRule="auto"/>
        <w:ind w:firstLine="602" w:firstLineChars="200"/>
        <w:jc w:val="left"/>
        <w:rPr>
          <w:rFonts w:ascii="仿宋_GB2312" w:hAnsi="Verdana" w:eastAsia="仿宋_GB2312"/>
          <w:b/>
          <w:sz w:val="30"/>
          <w:szCs w:val="30"/>
        </w:rPr>
      </w:pPr>
      <w:r>
        <w:rPr>
          <w:rFonts w:hint="eastAsia" w:ascii="仿宋_GB2312" w:hAnsi="Verdana" w:eastAsia="仿宋_GB2312" w:cs="仿宋_GB2312"/>
          <w:b/>
          <w:sz w:val="30"/>
          <w:szCs w:val="30"/>
        </w:rPr>
        <w:t>3.课程总体评价</w:t>
      </w:r>
    </w:p>
    <w:p>
      <w:pPr>
        <w:snapToGrid w:val="0"/>
        <w:spacing w:beforeLines="0" w:line="360" w:lineRule="auto"/>
        <w:ind w:firstLine="560" w:firstLineChars="200"/>
        <w:jc w:val="left"/>
        <w:rPr>
          <w:rFonts w:ascii="仿宋_GB2312" w:hAnsi="Verdana" w:eastAsia="仿宋_GB2312"/>
        </w:rPr>
      </w:pPr>
      <w:r>
        <w:rPr>
          <w:rFonts w:hint="eastAsia" w:ascii="仿宋_GB2312" w:hAnsi="Verdana" w:eastAsia="仿宋_GB2312" w:cs="仿宋_GB2312"/>
        </w:rPr>
        <w:t>根据课程的目标与过程性考核评价成绩、终结性考核评价的相关程度，按比例计入课程期末成绩。</w:t>
      </w:r>
    </w:p>
    <w:p>
      <w:pPr>
        <w:snapToGrid w:val="0"/>
        <w:spacing w:beforeLines="0" w:line="360" w:lineRule="auto"/>
        <w:ind w:firstLine="602" w:firstLineChars="200"/>
        <w:jc w:val="left"/>
        <w:outlineLvl w:val="1"/>
        <w:rPr>
          <w:rFonts w:ascii="仿宋_GB2312" w:eastAsia="仿宋_GB2312"/>
          <w:b/>
          <w:bCs/>
          <w:sz w:val="30"/>
          <w:szCs w:val="30"/>
        </w:rPr>
      </w:pPr>
      <w:bookmarkStart w:id="88" w:name="_Toc438974536"/>
      <w:bookmarkStart w:id="89" w:name="_Toc437332779"/>
      <w:bookmarkStart w:id="90" w:name="_Toc423458267"/>
      <w:bookmarkStart w:id="91" w:name="_Toc421211163"/>
      <w:r>
        <w:rPr>
          <w:rFonts w:hint="eastAsia" w:ascii="仿宋_GB2312" w:eastAsia="仿宋_GB2312" w:cs="仿宋_GB2312"/>
          <w:b/>
          <w:bCs/>
          <w:sz w:val="30"/>
          <w:szCs w:val="30"/>
        </w:rPr>
        <w:t>（二）岗位实习课程的考核评价</w:t>
      </w:r>
      <w:bookmarkEnd w:id="88"/>
      <w:bookmarkEnd w:id="89"/>
      <w:bookmarkEnd w:id="90"/>
      <w:bookmarkEnd w:id="91"/>
    </w:p>
    <w:p>
      <w:pPr>
        <w:snapToGrid w:val="0"/>
        <w:spacing w:beforeLines="0" w:line="360" w:lineRule="auto"/>
        <w:ind w:firstLine="560" w:firstLineChars="200"/>
        <w:jc w:val="left"/>
        <w:rPr>
          <w:rFonts w:ascii="仿宋_GB2312" w:hAnsi="Verdana" w:eastAsia="仿宋_GB2312"/>
        </w:rPr>
      </w:pPr>
      <w:r>
        <w:rPr>
          <w:rFonts w:hint="eastAsia" w:ascii="仿宋_GB2312" w:hAnsi="Verdana" w:eastAsia="仿宋_GB2312" w:cs="仿宋_GB2312"/>
        </w:rPr>
        <w:t>成立由企业（兼职）指导教师、专业指导教师和辅导员（或班主任）组成的考核组，主要对学生在实习期间的劳动纪律、工作态度、团队合作精神、人际沟通能力、专业技术能力和任务完成等方面情况进行考核评价。</w:t>
      </w:r>
    </w:p>
    <w:p>
      <w:pPr>
        <w:snapToGrid w:val="0"/>
        <w:spacing w:beforeLines="0" w:line="360" w:lineRule="auto"/>
        <w:ind w:firstLine="560" w:firstLineChars="200"/>
        <w:jc w:val="left"/>
        <w:rPr>
          <w:rFonts w:ascii="仿宋_GB2312" w:hAnsi="Verdana" w:eastAsia="仿宋_GB2312"/>
        </w:rPr>
      </w:pPr>
      <w:r>
        <w:rPr>
          <w:rFonts w:hint="eastAsia" w:ascii="仿宋_GB2312" w:hAnsi="Verdana" w:eastAsia="仿宋_GB2312" w:cs="仿宋_GB2312"/>
        </w:rPr>
        <w:t>职业素养及各科成绩合格，身体健康，无违纪违法行为，准予毕业。</w:t>
      </w:r>
    </w:p>
    <w:p>
      <w:pPr>
        <w:pStyle w:val="45"/>
        <w:snapToGrid w:val="0"/>
        <w:spacing w:line="360" w:lineRule="auto"/>
        <w:ind w:firstLine="643"/>
        <w:outlineLvl w:val="0"/>
        <w:rPr>
          <w:rFonts w:ascii="仿宋_GB2312" w:eastAsia="仿宋_GB2312"/>
          <w:b/>
          <w:sz w:val="32"/>
          <w:szCs w:val="32"/>
        </w:rPr>
      </w:pPr>
      <w:bookmarkStart w:id="92" w:name="_Toc421211164"/>
      <w:bookmarkStart w:id="93" w:name="_Toc438969746"/>
      <w:bookmarkStart w:id="94" w:name="_Toc438974537"/>
      <w:bookmarkStart w:id="95" w:name="_Toc423458268"/>
      <w:bookmarkStart w:id="96" w:name="_Toc423458269"/>
      <w:bookmarkStart w:id="97" w:name="_Toc421211165"/>
      <w:bookmarkStart w:id="98" w:name="_Toc437332781"/>
      <w:r>
        <w:rPr>
          <w:rFonts w:hint="eastAsia" w:ascii="仿宋_GB2312" w:eastAsia="仿宋_GB2312"/>
          <w:b/>
          <w:sz w:val="32"/>
          <w:szCs w:val="32"/>
        </w:rPr>
        <w:t>十二、实施保障</w:t>
      </w:r>
      <w:bookmarkEnd w:id="92"/>
      <w:bookmarkEnd w:id="93"/>
      <w:bookmarkEnd w:id="94"/>
      <w:bookmarkEnd w:id="95"/>
    </w:p>
    <w:p>
      <w:pPr>
        <w:snapToGrid w:val="0"/>
        <w:spacing w:beforeLines="0" w:line="360" w:lineRule="auto"/>
        <w:ind w:firstLine="560" w:firstLineChars="200"/>
        <w:jc w:val="left"/>
        <w:rPr>
          <w:rFonts w:ascii="仿宋_GB2312" w:eastAsia="仿宋_GB2312"/>
        </w:rPr>
      </w:pPr>
      <w:r>
        <w:rPr>
          <w:rFonts w:hint="eastAsia" w:ascii="仿宋_GB2312" w:eastAsia="仿宋_GB2312"/>
        </w:rPr>
        <w:t>为了确保本人才培养方案顺利实施，本专业须配备校内实训场室、校外实习基地和以一体化教师为主的专业师资。</w:t>
      </w:r>
    </w:p>
    <w:p>
      <w:pPr>
        <w:snapToGrid w:val="0"/>
        <w:spacing w:beforeLines="0" w:line="360" w:lineRule="auto"/>
        <w:ind w:firstLine="602" w:firstLineChars="200"/>
        <w:jc w:val="left"/>
        <w:outlineLvl w:val="1"/>
        <w:rPr>
          <w:rFonts w:ascii="仿宋_GB2312" w:eastAsia="仿宋_GB2312"/>
          <w:b/>
          <w:bCs/>
          <w:sz w:val="30"/>
          <w:szCs w:val="30"/>
        </w:rPr>
      </w:pPr>
      <w:bookmarkStart w:id="99" w:name="_Toc438974538"/>
      <w:r>
        <w:rPr>
          <w:rFonts w:hint="eastAsia" w:ascii="仿宋_GB2312" w:eastAsia="仿宋_GB2312" w:cs="仿宋_GB2312"/>
          <w:b/>
          <w:bCs/>
          <w:sz w:val="30"/>
          <w:szCs w:val="30"/>
        </w:rPr>
        <w:t>（一）校内实训室</w:t>
      </w:r>
      <w:bookmarkEnd w:id="96"/>
      <w:bookmarkEnd w:id="97"/>
      <w:bookmarkEnd w:id="98"/>
      <w:bookmarkEnd w:id="99"/>
    </w:p>
    <w:p>
      <w:pPr>
        <w:snapToGrid w:val="0"/>
        <w:spacing w:beforeLines="0" w:line="360" w:lineRule="auto"/>
        <w:ind w:firstLine="560" w:firstLineChars="200"/>
        <w:jc w:val="left"/>
        <w:rPr>
          <w:rFonts w:ascii="仿宋_GB2312" w:eastAsia="仿宋_GB2312" w:cs="仿宋_GB2312"/>
        </w:rPr>
      </w:pPr>
      <w:r>
        <w:rPr>
          <w:rFonts w:hint="eastAsia" w:ascii="仿宋_GB2312" w:eastAsia="仿宋_GB2312" w:cs="仿宋_GB2312"/>
        </w:rPr>
        <w:t>本专业校内实习必须具备的实训室与设备设施和主要工具的名称及数量见下表。</w:t>
      </w:r>
    </w:p>
    <w:tbl>
      <w:tblPr>
        <w:tblStyle w:val="18"/>
        <w:tblW w:w="8480" w:type="dxa"/>
        <w:jc w:val="center"/>
        <w:tblLayout w:type="autofit"/>
        <w:tblCellMar>
          <w:top w:w="0" w:type="dxa"/>
          <w:left w:w="108" w:type="dxa"/>
          <w:bottom w:w="0" w:type="dxa"/>
          <w:right w:w="108" w:type="dxa"/>
        </w:tblCellMar>
      </w:tblPr>
      <w:tblGrid>
        <w:gridCol w:w="793"/>
        <w:gridCol w:w="2126"/>
        <w:gridCol w:w="3828"/>
        <w:gridCol w:w="1733"/>
      </w:tblGrid>
      <w:tr>
        <w:tblPrEx>
          <w:tblCellMar>
            <w:top w:w="0" w:type="dxa"/>
            <w:left w:w="108" w:type="dxa"/>
            <w:bottom w:w="0" w:type="dxa"/>
            <w:right w:w="108" w:type="dxa"/>
          </w:tblCellMar>
        </w:tblPrEx>
        <w:trPr>
          <w:trHeight w:val="20" w:hRule="atLeast"/>
          <w:tblHeader/>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b/>
                <w:bCs/>
                <w:color w:val="000000"/>
                <w:kern w:val="0"/>
                <w:sz w:val="24"/>
                <w:szCs w:val="24"/>
              </w:rPr>
            </w:pPr>
            <w:r>
              <w:rPr>
                <w:rFonts w:hint="eastAsia" w:ascii="仿宋_GB2312" w:hAnsi="宋体" w:eastAsia="仿宋_GB2312" w:cs="宋体"/>
                <w:bCs/>
                <w:color w:val="000000"/>
                <w:kern w:val="0"/>
                <w:sz w:val="24"/>
                <w:szCs w:val="24"/>
              </w:rPr>
              <w:t>序号</w:t>
            </w:r>
          </w:p>
        </w:tc>
        <w:tc>
          <w:tcPr>
            <w:tcW w:w="2126" w:type="dxa"/>
            <w:tcBorders>
              <w:top w:val="single" w:color="auto" w:sz="4" w:space="0"/>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b/>
                <w:bCs/>
                <w:color w:val="000000"/>
                <w:kern w:val="0"/>
                <w:sz w:val="24"/>
                <w:szCs w:val="24"/>
              </w:rPr>
            </w:pPr>
            <w:r>
              <w:rPr>
                <w:rFonts w:hint="eastAsia" w:ascii="仿宋_GB2312" w:hAnsi="宋体" w:eastAsia="仿宋_GB2312" w:cs="宋体"/>
                <w:bCs/>
                <w:color w:val="000000"/>
                <w:kern w:val="0"/>
                <w:sz w:val="24"/>
                <w:szCs w:val="24"/>
              </w:rPr>
              <w:t>实训室名称</w:t>
            </w:r>
          </w:p>
        </w:tc>
        <w:tc>
          <w:tcPr>
            <w:tcW w:w="3828" w:type="dxa"/>
            <w:tcBorders>
              <w:top w:val="single" w:color="auto" w:sz="4" w:space="0"/>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b/>
                <w:bCs/>
                <w:color w:val="000000"/>
                <w:kern w:val="0"/>
                <w:sz w:val="24"/>
                <w:szCs w:val="24"/>
              </w:rPr>
            </w:pPr>
            <w:r>
              <w:rPr>
                <w:rFonts w:hint="eastAsia" w:ascii="仿宋_GB2312" w:hAnsi="宋体" w:eastAsia="仿宋_GB2312" w:cs="宋体"/>
                <w:bCs/>
                <w:color w:val="000000"/>
                <w:kern w:val="0"/>
                <w:sz w:val="24"/>
                <w:szCs w:val="24"/>
              </w:rPr>
              <w:t>设备设施（工具）名称</w:t>
            </w:r>
          </w:p>
        </w:tc>
        <w:tc>
          <w:tcPr>
            <w:tcW w:w="1733" w:type="dxa"/>
            <w:tcBorders>
              <w:top w:val="single" w:color="auto" w:sz="4" w:space="0"/>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bCs/>
                <w:color w:val="000000"/>
                <w:kern w:val="0"/>
                <w:sz w:val="24"/>
                <w:szCs w:val="24"/>
              </w:rPr>
            </w:pPr>
            <w:r>
              <w:rPr>
                <w:rFonts w:hint="eastAsia" w:ascii="仿宋_GB2312" w:hAnsi="宋体" w:eastAsia="仿宋_GB2312" w:cs="宋体"/>
                <w:bCs/>
                <w:color w:val="000000"/>
                <w:kern w:val="0"/>
                <w:sz w:val="24"/>
                <w:szCs w:val="24"/>
              </w:rPr>
              <w:t>数量（台/套）</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汽车空调实训1室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制冷剂加注回收机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发动机自动空调系统实训台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手动空调实物连线实训台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手动空调实训台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自动空调系统台架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汽车自动空调系统示教板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汽车自动空调系统示教板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制冷剂检漏仪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汽车底盘实训1室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电控助力转向系统实训台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ABS实训台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ASR实训台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捷达离合器实验台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轮胎平衡机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轮胎拆装机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电控空气悬挂系统实训台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汽车ABS控制器示教板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捷达转向系实验台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金杯汽车底盘实习台架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金杯前桥悬挂系统实验</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变速器实训室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自动变速箱实训台(带气动)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本田飞度无级变速箱拆装翻转架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自动变速器拆装翻转架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自动变速器拆装翻转架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手动变速箱拆装翻转架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手动变速器总成</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丰田自动变速器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金杯手动变速器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自动变速器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汽车自动变速器控制器示教板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北京吉普手动变速器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发动机诊断实训室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柴油喷油泵试验台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发动机综合检测仪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巡航系统示教板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发动机带自动变速器实训台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捷达发动机带自动变速器实训台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电控柴油发动机实训台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汽油燃油喷射系统示教板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汽车点火系统示教板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汽车电控发动机控制器示教板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发动机综合训练台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发动机诊断台架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汽车混合动力系统示教板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汽车电动动力系统示教板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汽油喷油咀检测清洗分析仪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便携式发动机异响诊断仪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发动机拆装实训1室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高压柴油泵</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柴油发动机拆装翻转架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捷达发动机拆装翻转台架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普通柴油发动机实训台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日产发动机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五十铃发动机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丰田发动机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Hino发动机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丰田5A发动机拆装翻转架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丰田5A发动机DL-CZF</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丰田5A发动机+变速器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5A发动机+变速器解剖模型</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长安微型发动机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丰田发动机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连杆校正器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汽车整车实训1室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四柱举升器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两柱举升器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四轮定位仪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四柱四轮定位举升器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丰田佳美2.0轿车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长城汽车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丰田汽车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车博士电脑解码器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可燃气体检漏仪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水箱检漏仪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正时枪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1把</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废气分析仪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烟度计</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前照灯检测仪（电动式）</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汽车底盘测功机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汽车故障电脑诊断仪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卡罗拉整车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花冠整车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捷达整车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依维柯面包整车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小解放汽车整车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机油回收机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汽车仿真实训1室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汽车维修资料数据库</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网络型智能化实训考核系统</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整车教学汽车仿真教学软件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汽车故障诊断虚拟实训软件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M-SM汽车服务营销核心教学软件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汽车总成拆装虚拟实训软件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教师计算机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汽车电气实训1室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大众CAN数据传输网络系统示教板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汽车SRS控制器示教板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捷达安全气囊实训台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汽车专用示波器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车门控制系统实训台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仪表电路连线实训台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仪表电路连线实训台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照明与转向信号接线实训台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汽车倒车雷达系统示教板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汽车GPS卫星导航系统示教板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汽车起动系统示教板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汽车充电系统示教板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汽车仪表系统示教板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汽车雨刷系统示教板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汽车音响系统示教板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汽车传感器示教板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汽车继电器示教板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汽车燃料电池系统示教板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蓄电池测试仪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佳美照明与转向信号接线实训台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电动窗/中控门锁/后视镜示教板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大众雨刮和后视镜系统示教板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汽车电器万能试验台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便携式发动机异响诊断仪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蓄电池测试仪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电动座椅实训台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全车电路接线实训台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全车线路仿真实训台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车门综合控制系统实验台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发电机(3H5-01010)</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汽车整车实训2室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轿车整车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轿车整车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轿车整车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丰田凌志解剖车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两柱举升机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德高四柱举升机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汽车专用万用表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机油回收机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四轮定位仪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轮胎拆装机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轮胎平衡机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汽油喷油器清洗检测仪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汽车故障电脑诊断仪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发动机分析仪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汽车尾气分析仪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发动机拆装实训2室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发动机拆装台架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卡罗拉发动机拆装台架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汽油发动机解剖运行台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柴油发动机解剖运行台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汽油发动机拆装翻转架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25台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大众捷达柴油发动机拆装翻转架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汽车底盘实训2室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自动变速器拆装翻转架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自动变速器实训台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汽车自动变速器解剖台架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汽车差速器解剖台架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捷达手动变速器拆装翻转架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自动变速器解剖实训台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制动系统实验台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传动系统实验台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制动防抱死系统实验台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汽车电气实训2室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电控汽油发动机实训台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柴油发动机实训台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汽车基础电工电子积木考核箱</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电控发动机控制部件积木板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发动机电控系统示教板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发动机电控系统示教板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整车电器实训台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启动系统示教板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充电系统示教板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汽车灯光/仪表系统示教板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中央门锁控制系统示教板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可视音响示教板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整车电器示教板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电动座椅实训台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点火系统综合实训台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电子燃油喷射示教板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车门系统示教板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全车电气实训检测考核装备</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电子燃油喷射示教板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汽车专用万用表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全车电路实训台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汽车空调实训2室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轿车整车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凌志300自动空调实训台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制冷剂检漏仪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全自动汽车空调实验台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压力表组</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6套</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汽车仿真实训2室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36套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汽车仿真软件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计算机台桌</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36套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交换机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2套</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汽车钣喷实训室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烤漆房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1间</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工具、资料柜</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六角桌</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36张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配套椅子</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气体保护焊</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面漆喷枪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1支</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免洗枪壶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1支</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底漆喷枪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1支</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汽车钣金修复机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调漆设备</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红外线烤灯</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调色灯箱</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汽车蓄电池检测仪器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汽车臭氧消毒机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组合工具</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150件套综合组套</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气门钳</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2把</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曲轴皮带盘拉马</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汽车专用万用表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电子式卤素检漏仪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汽车避震弹簧拆装机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汽车创新实训室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资源库智能查询系统</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工位机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扫描枪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4把</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工位机资源</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六角桌</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36张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多媒体教学系统</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立式液晶电视</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93" w:line="240" w:lineRule="auto"/>
              <w:jc w:val="left"/>
              <w:rPr>
                <w:rFonts w:ascii="仿宋_GB2312" w:hAnsi="宋体" w:eastAsia="仿宋_GB2312" w:cs="宋体"/>
                <w:color w:val="000000"/>
                <w:kern w:val="0"/>
                <w:sz w:val="24"/>
                <w:szCs w:val="24"/>
              </w:rPr>
            </w:pPr>
          </w:p>
          <w:p>
            <w:pPr>
              <w:snapToGrid w:val="0"/>
              <w:spacing w:before="93" w:line="24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93" w:line="24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新能源汽车实训室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混合动力</w:t>
            </w:r>
            <w:r>
              <w:rPr>
                <w:rFonts w:ascii="仿宋_GB2312" w:hAnsi="宋体" w:eastAsia="仿宋_GB2312" w:cs="宋体"/>
                <w:color w:val="000000"/>
                <w:kern w:val="0"/>
                <w:sz w:val="24"/>
                <w:szCs w:val="24"/>
              </w:rPr>
              <w:t>汽车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纯电汽车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充电桩</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绝缘电阻测试仪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高压防护套装</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绝缘防护垫</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心肺复苏模拟除颤仪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动力电池举升车（电动）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专用故障诊断仪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安全警示标识</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液晶彩显高级电脑心复苏模拟人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镍氢动力电池组检测维护实训系统</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教学用新能源汽车动力电池检测实训系统</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新能源汽车电力电子技术基础实训模块</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纯电动汽车动力驱动与控制一体化教学实训系统</w:t>
            </w:r>
          </w:p>
        </w:tc>
        <w:tc>
          <w:tcPr>
            <w:tcW w:w="1733" w:type="dxa"/>
            <w:tcBorders>
              <w:top w:val="nil"/>
              <w:left w:val="nil"/>
              <w:bottom w:val="single" w:color="auto" w:sz="4" w:space="0"/>
              <w:right w:val="single" w:color="auto" w:sz="4" w:space="0"/>
            </w:tcBorders>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纯电动汽车动力电池与管理一体化教学实训系统</w:t>
            </w:r>
          </w:p>
        </w:tc>
        <w:tc>
          <w:tcPr>
            <w:tcW w:w="1733" w:type="dxa"/>
            <w:tcBorders>
              <w:top w:val="nil"/>
              <w:left w:val="nil"/>
              <w:bottom w:val="single" w:color="auto" w:sz="4" w:space="0"/>
              <w:right w:val="single" w:color="auto" w:sz="4" w:space="0"/>
            </w:tcBorders>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纯电动汽车空调与暖风一体化教学实训系统</w:t>
            </w:r>
          </w:p>
        </w:tc>
        <w:tc>
          <w:tcPr>
            <w:tcW w:w="1733" w:type="dxa"/>
            <w:tcBorders>
              <w:top w:val="nil"/>
              <w:left w:val="nil"/>
              <w:bottom w:val="single" w:color="auto" w:sz="4" w:space="0"/>
              <w:right w:val="single" w:color="auto" w:sz="4" w:space="0"/>
            </w:tcBorders>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纯电动汽车电动助力转向一体化教学实训系统</w:t>
            </w:r>
          </w:p>
        </w:tc>
        <w:tc>
          <w:tcPr>
            <w:tcW w:w="1733" w:type="dxa"/>
            <w:tcBorders>
              <w:top w:val="nil"/>
              <w:left w:val="nil"/>
              <w:bottom w:val="single" w:color="auto" w:sz="4" w:space="0"/>
              <w:right w:val="single" w:color="auto" w:sz="4" w:space="0"/>
            </w:tcBorders>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纯电动汽车车身电器一体化教学实训系统</w:t>
            </w:r>
          </w:p>
        </w:tc>
        <w:tc>
          <w:tcPr>
            <w:tcW w:w="1733" w:type="dxa"/>
            <w:tcBorders>
              <w:top w:val="nil"/>
              <w:left w:val="nil"/>
              <w:bottom w:val="single" w:color="auto" w:sz="4" w:space="0"/>
              <w:right w:val="single" w:color="auto" w:sz="4" w:space="0"/>
            </w:tcBorders>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真空助力及液压制动系统一体化教学实训系统</w:t>
            </w:r>
          </w:p>
        </w:tc>
        <w:tc>
          <w:tcPr>
            <w:tcW w:w="1733" w:type="dxa"/>
            <w:tcBorders>
              <w:top w:val="nil"/>
              <w:left w:val="nil"/>
              <w:bottom w:val="single" w:color="auto" w:sz="4" w:space="0"/>
              <w:right w:val="single" w:color="auto" w:sz="4" w:space="0"/>
            </w:tcBorders>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纯电动汽车检测实训系统</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绝缘工具套装</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动力电池内阻测试仪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WIFI示波器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新能源汽车手动维修开关教学实训板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兆欧表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心肺复苏专用急救箱</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新能汽车高压配电系统实训套</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新能源汽车充电枪操作实训板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bl>
    <w:p>
      <w:pPr>
        <w:snapToGrid w:val="0"/>
        <w:spacing w:beforeLines="0" w:line="360" w:lineRule="auto"/>
        <w:ind w:firstLine="480" w:firstLineChars="200"/>
        <w:jc w:val="left"/>
        <w:rPr>
          <w:rFonts w:ascii="仿宋_GB2312" w:hAnsi="宋体" w:eastAsia="仿宋_GB2312" w:cs="仿宋_GB2312"/>
          <w:sz w:val="24"/>
          <w:szCs w:val="24"/>
        </w:rPr>
      </w:pPr>
      <w:r>
        <w:rPr>
          <w:rFonts w:hint="eastAsia" w:ascii="仿宋_GB2312" w:hAnsi="宋体" w:eastAsia="仿宋_GB2312" w:cs="仿宋_GB2312"/>
          <w:sz w:val="24"/>
          <w:szCs w:val="24"/>
        </w:rPr>
        <w:t>说明：主要设施设备及工量具数量按照标准班最高40人/班配置。</w:t>
      </w:r>
    </w:p>
    <w:p>
      <w:pPr>
        <w:snapToGrid w:val="0"/>
        <w:spacing w:beforeLines="0" w:line="360" w:lineRule="auto"/>
        <w:ind w:firstLine="602" w:firstLineChars="200"/>
        <w:jc w:val="left"/>
        <w:outlineLvl w:val="1"/>
        <w:rPr>
          <w:rFonts w:ascii="仿宋_GB2312" w:eastAsia="仿宋_GB2312"/>
          <w:b/>
          <w:bCs/>
          <w:sz w:val="30"/>
          <w:szCs w:val="30"/>
        </w:rPr>
      </w:pPr>
      <w:bookmarkStart w:id="100" w:name="_Toc421211166"/>
      <w:bookmarkStart w:id="101" w:name="_Toc423458270"/>
      <w:bookmarkStart w:id="102" w:name="_Toc437332782"/>
      <w:bookmarkStart w:id="103" w:name="_Toc438974539"/>
      <w:r>
        <w:rPr>
          <w:rFonts w:hint="eastAsia" w:ascii="仿宋_GB2312" w:eastAsia="仿宋_GB2312" w:cs="仿宋_GB2312"/>
          <w:b/>
          <w:bCs/>
          <w:sz w:val="30"/>
          <w:szCs w:val="30"/>
        </w:rPr>
        <w:t>（二）校外实习基地</w:t>
      </w:r>
      <w:bookmarkEnd w:id="100"/>
      <w:bookmarkEnd w:id="101"/>
      <w:bookmarkEnd w:id="102"/>
      <w:bookmarkEnd w:id="103"/>
    </w:p>
    <w:p>
      <w:pPr>
        <w:snapToGrid w:val="0"/>
        <w:spacing w:beforeLines="0" w:line="360" w:lineRule="auto"/>
        <w:ind w:firstLine="560" w:firstLineChars="200"/>
        <w:jc w:val="left"/>
        <w:rPr>
          <w:rFonts w:ascii="仿宋_GB2312" w:hAnsi="宋体" w:eastAsia="仿宋_GB2312"/>
        </w:rPr>
      </w:pPr>
      <w:r>
        <w:rPr>
          <w:rFonts w:hint="eastAsia" w:ascii="仿宋_GB2312" w:hAnsi="宋体" w:eastAsia="仿宋_GB2312" w:cs="仿宋_GB2312"/>
        </w:rPr>
        <w:t>根据专业人才培养需要和汽车运用与维修专业发展特点，建立两类校外实训基地：一类是以专业认识和参观为主的实训基地，能够反映目前专业技能方向新技术，并能同时接纳较多学生学习，为新生入学教育和认识专业课程教学提供条件；另一类是以社会实践及学生顶岗实习为主的实训基地，能够为学生提供真实专业技能方向综合实践轮岗训练的工作岗位，并能保证有效工作时间，该基地能根据培养目标要求和实践教学内容，校企合作共同制订实习计划和教学大纲，按进程精心编排教学设计并组织、管理教学过程。</w:t>
      </w:r>
    </w:p>
    <w:p>
      <w:pPr>
        <w:snapToGrid w:val="0"/>
        <w:spacing w:beforeLines="0" w:line="360" w:lineRule="auto"/>
        <w:jc w:val="center"/>
        <w:rPr>
          <w:rFonts w:ascii="仿宋_GB2312" w:eastAsia="仿宋_GB2312"/>
          <w:sz w:val="24"/>
          <w:szCs w:val="24"/>
        </w:rPr>
      </w:pPr>
      <w:r>
        <w:rPr>
          <w:rFonts w:hint="eastAsia" w:ascii="仿宋_GB2312" w:eastAsia="仿宋_GB2312" w:cs="仿宋_GB2312"/>
          <w:sz w:val="24"/>
          <w:szCs w:val="24"/>
        </w:rPr>
        <w:t>校外实训基地一览表</w:t>
      </w:r>
      <w:bookmarkStart w:id="104" w:name="_Toc421211167"/>
      <w:bookmarkStart w:id="105" w:name="_Toc423458271"/>
    </w:p>
    <w:tbl>
      <w:tblPr>
        <w:tblStyle w:val="18"/>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675"/>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snapToGrid w:val="0"/>
              <w:spacing w:beforeLines="0" w:line="240" w:lineRule="auto"/>
              <w:jc w:val="center"/>
              <w:rPr>
                <w:rFonts w:ascii="仿宋_GB2312" w:hAnsi="Calibri" w:eastAsia="仿宋_GB2312"/>
                <w:b/>
                <w:sz w:val="24"/>
                <w:szCs w:val="24"/>
                <w:lang w:eastAsia="en-US"/>
              </w:rPr>
            </w:pPr>
            <w:r>
              <w:rPr>
                <w:rFonts w:hint="eastAsia" w:ascii="仿宋_GB2312" w:eastAsia="仿宋_GB2312" w:cs="仿宋_GB2312"/>
                <w:sz w:val="24"/>
                <w:szCs w:val="24"/>
              </w:rPr>
              <w:t>序号</w:t>
            </w:r>
          </w:p>
        </w:tc>
        <w:tc>
          <w:tcPr>
            <w:tcW w:w="4675" w:type="dxa"/>
            <w:vAlign w:val="center"/>
          </w:tcPr>
          <w:p>
            <w:pPr>
              <w:snapToGrid w:val="0"/>
              <w:spacing w:beforeLines="0" w:line="240" w:lineRule="auto"/>
              <w:jc w:val="center"/>
              <w:rPr>
                <w:rFonts w:ascii="仿宋_GB2312" w:hAnsi="Calibri" w:eastAsia="仿宋_GB2312"/>
                <w:b/>
                <w:sz w:val="24"/>
                <w:szCs w:val="24"/>
              </w:rPr>
            </w:pPr>
            <w:r>
              <w:rPr>
                <w:rFonts w:hint="eastAsia" w:ascii="仿宋_GB2312" w:eastAsia="仿宋_GB2312" w:cs="仿宋_GB2312"/>
                <w:sz w:val="24"/>
                <w:szCs w:val="24"/>
              </w:rPr>
              <w:t>校外实训基地所在企业名称</w:t>
            </w:r>
          </w:p>
        </w:tc>
        <w:tc>
          <w:tcPr>
            <w:tcW w:w="3245" w:type="dxa"/>
            <w:vAlign w:val="center"/>
          </w:tcPr>
          <w:p>
            <w:pPr>
              <w:snapToGrid w:val="0"/>
              <w:spacing w:beforeLines="0" w:line="240" w:lineRule="auto"/>
              <w:jc w:val="center"/>
              <w:rPr>
                <w:rFonts w:ascii="仿宋_GB2312" w:hAnsi="Calibri" w:eastAsia="仿宋_GB2312"/>
                <w:sz w:val="24"/>
                <w:szCs w:val="24"/>
                <w:lang w:eastAsia="en-US"/>
              </w:rPr>
            </w:pPr>
            <w:r>
              <w:rPr>
                <w:rFonts w:hint="eastAsia" w:ascii="仿宋_GB2312" w:eastAsia="仿宋_GB2312" w:cs="仿宋_GB2312"/>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snapToGrid w:val="0"/>
              <w:spacing w:beforeLines="0" w:line="240" w:lineRule="auto"/>
              <w:jc w:val="center"/>
              <w:rPr>
                <w:rFonts w:ascii="仿宋_GB2312" w:hAnsi="Calibri" w:eastAsia="仿宋_GB2312"/>
                <w:sz w:val="24"/>
                <w:szCs w:val="24"/>
                <w:lang w:eastAsia="en-US"/>
              </w:rPr>
            </w:pPr>
            <w:r>
              <w:rPr>
                <w:rFonts w:hint="eastAsia" w:ascii="仿宋_GB2312" w:eastAsia="仿宋_GB2312" w:cs="仿宋_GB2312"/>
                <w:sz w:val="24"/>
                <w:szCs w:val="24"/>
              </w:rPr>
              <w:t>1</w:t>
            </w:r>
          </w:p>
        </w:tc>
        <w:tc>
          <w:tcPr>
            <w:tcW w:w="4675" w:type="dxa"/>
            <w:vAlign w:val="center"/>
          </w:tcPr>
          <w:p>
            <w:pPr>
              <w:snapToGrid w:val="0"/>
              <w:spacing w:beforeLines="0" w:line="240" w:lineRule="auto"/>
              <w:rPr>
                <w:rFonts w:ascii="仿宋_GB2312" w:hAnsi="Calibri" w:eastAsia="仿宋_GB2312"/>
                <w:sz w:val="24"/>
                <w:szCs w:val="24"/>
              </w:rPr>
            </w:pPr>
            <w:r>
              <w:rPr>
                <w:rFonts w:hint="eastAsia" w:ascii="仿宋_GB2312" w:eastAsia="仿宋_GB2312" w:cs="仿宋_GB2312"/>
                <w:sz w:val="24"/>
                <w:szCs w:val="24"/>
              </w:rPr>
              <w:t>北汽福田汽车股份有限公司南海汽车厂</w:t>
            </w:r>
          </w:p>
        </w:tc>
        <w:tc>
          <w:tcPr>
            <w:tcW w:w="3245" w:type="dxa"/>
            <w:vAlign w:val="center"/>
          </w:tcPr>
          <w:p>
            <w:pPr>
              <w:snapToGrid w:val="0"/>
              <w:spacing w:beforeLines="0" w:line="240" w:lineRule="auto"/>
              <w:rPr>
                <w:rFonts w:ascii="仿宋_GB2312" w:hAnsi="Calibri" w:eastAsia="仿宋_GB2312"/>
                <w:sz w:val="24"/>
                <w:szCs w:val="24"/>
              </w:rPr>
            </w:pPr>
            <w:r>
              <w:rPr>
                <w:rFonts w:hint="eastAsia" w:ascii="仿宋_GB2312" w:eastAsia="仿宋_GB2312" w:cs="仿宋_GB2312"/>
                <w:sz w:val="24"/>
                <w:szCs w:val="24"/>
              </w:rPr>
              <w:t>佛山市南海区桂城海八东路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snapToGrid w:val="0"/>
              <w:spacing w:beforeLines="0" w:line="240" w:lineRule="auto"/>
              <w:jc w:val="center"/>
              <w:rPr>
                <w:rFonts w:ascii="仿宋_GB2312" w:hAnsi="Calibri" w:eastAsia="仿宋_GB2312"/>
                <w:sz w:val="24"/>
                <w:szCs w:val="24"/>
                <w:lang w:eastAsia="en-US"/>
              </w:rPr>
            </w:pPr>
            <w:r>
              <w:rPr>
                <w:rFonts w:hint="eastAsia" w:ascii="仿宋_GB2312" w:eastAsia="仿宋_GB2312" w:cs="仿宋_GB2312"/>
                <w:sz w:val="24"/>
                <w:szCs w:val="24"/>
              </w:rPr>
              <w:t>2</w:t>
            </w:r>
          </w:p>
        </w:tc>
        <w:tc>
          <w:tcPr>
            <w:tcW w:w="4675" w:type="dxa"/>
            <w:vAlign w:val="center"/>
          </w:tcPr>
          <w:p>
            <w:pPr>
              <w:snapToGrid w:val="0"/>
              <w:spacing w:beforeLines="0" w:line="240" w:lineRule="auto"/>
              <w:rPr>
                <w:rFonts w:ascii="仿宋_GB2312" w:eastAsia="仿宋_GB2312" w:cs="仿宋_GB2312"/>
                <w:sz w:val="24"/>
                <w:szCs w:val="24"/>
              </w:rPr>
            </w:pPr>
            <w:r>
              <w:rPr>
                <w:rFonts w:hint="eastAsia" w:ascii="仿宋_GB2312" w:eastAsia="仿宋_GB2312" w:cs="仿宋_GB2312"/>
                <w:sz w:val="24"/>
                <w:szCs w:val="24"/>
              </w:rPr>
              <w:t>阳江市溢信汽车销售维修有限公司（日产4S）</w:t>
            </w:r>
          </w:p>
        </w:tc>
        <w:tc>
          <w:tcPr>
            <w:tcW w:w="3245" w:type="dxa"/>
            <w:vAlign w:val="center"/>
          </w:tcPr>
          <w:p>
            <w:pPr>
              <w:snapToGrid w:val="0"/>
              <w:spacing w:beforeLines="0" w:line="240" w:lineRule="auto"/>
              <w:rPr>
                <w:rFonts w:ascii="仿宋_GB2312" w:hAnsi="Calibri" w:eastAsia="仿宋_GB2312"/>
                <w:sz w:val="24"/>
                <w:szCs w:val="24"/>
                <w:lang w:eastAsia="en-US"/>
              </w:rPr>
            </w:pPr>
            <w:r>
              <w:rPr>
                <w:rFonts w:hint="eastAsia" w:ascii="仿宋_GB2312" w:eastAsia="仿宋_GB2312" w:cs="仿宋_GB2312"/>
                <w:sz w:val="24"/>
                <w:szCs w:val="24"/>
              </w:rPr>
              <w:t>阳江市东风三路163号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698" w:type="dxa"/>
            <w:vAlign w:val="center"/>
          </w:tcPr>
          <w:p>
            <w:pPr>
              <w:widowControl/>
              <w:snapToGrid w:val="0"/>
              <w:spacing w:beforeLines="0" w:line="24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467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阳江市溢信汽车销售维修有限公司</w:t>
            </w:r>
          </w:p>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（本田4S）</w:t>
            </w:r>
          </w:p>
        </w:tc>
        <w:tc>
          <w:tcPr>
            <w:tcW w:w="324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阳江市东风三路1138号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beforeLines="0" w:line="24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467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阳江市溢福汽车销售维修有限公司</w:t>
            </w:r>
          </w:p>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（福特4S）</w:t>
            </w:r>
          </w:p>
        </w:tc>
        <w:tc>
          <w:tcPr>
            <w:tcW w:w="324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阳江市东风三路161号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beforeLines="0" w:line="24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467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上海大众阳江众达4S</w:t>
            </w:r>
          </w:p>
        </w:tc>
        <w:tc>
          <w:tcPr>
            <w:tcW w:w="324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阳江市江城区漠江中路北侧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beforeLines="0" w:line="24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467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阳江市粤隆汽车销售维修有限公司</w:t>
            </w:r>
          </w:p>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（海马4S）</w:t>
            </w:r>
          </w:p>
        </w:tc>
        <w:tc>
          <w:tcPr>
            <w:tcW w:w="324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阳江市康泰路3号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698" w:type="dxa"/>
            <w:vAlign w:val="center"/>
          </w:tcPr>
          <w:p>
            <w:pPr>
              <w:widowControl/>
              <w:snapToGrid w:val="0"/>
              <w:spacing w:beforeLines="0" w:line="24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467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奇瑞汽车阳江粤隆特约服务站</w:t>
            </w:r>
          </w:p>
        </w:tc>
        <w:tc>
          <w:tcPr>
            <w:tcW w:w="324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阳江市康泰路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beforeLines="0" w:line="24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467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阳江市顺铃汽车销售维修有限公司</w:t>
            </w:r>
          </w:p>
        </w:tc>
        <w:tc>
          <w:tcPr>
            <w:tcW w:w="324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阳江市金山路北侧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beforeLines="0" w:line="24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467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阳江安捷源通汽车销售服务有限公司</w:t>
            </w:r>
          </w:p>
        </w:tc>
        <w:tc>
          <w:tcPr>
            <w:tcW w:w="324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阳江市金山路南侧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beforeLines="0" w:line="24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467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阳江安捷源众汽车销售服务有限公司</w:t>
            </w:r>
          </w:p>
        </w:tc>
        <w:tc>
          <w:tcPr>
            <w:tcW w:w="324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阳江市金山路南侧</w:t>
            </w:r>
          </w:p>
        </w:tc>
      </w:tr>
      <w:bookmarkEnd w:id="104"/>
      <w:bookmarkEnd w:id="105"/>
    </w:tbl>
    <w:p>
      <w:pPr>
        <w:snapToGrid w:val="0"/>
        <w:spacing w:beforeLines="0" w:line="240" w:lineRule="auto"/>
        <w:jc w:val="center"/>
        <w:rPr>
          <w:rFonts w:ascii="仿宋_GB2312" w:hAnsi="宋体fal" w:eastAsia="仿宋_GB2312"/>
        </w:rPr>
      </w:pPr>
    </w:p>
    <w:p>
      <w:pPr>
        <w:pStyle w:val="45"/>
        <w:snapToGrid w:val="0"/>
        <w:spacing w:line="360" w:lineRule="auto"/>
        <w:ind w:firstLine="643"/>
        <w:outlineLvl w:val="1"/>
        <w:rPr>
          <w:rFonts w:ascii="仿宋_GB2312" w:eastAsia="仿宋_GB2312"/>
          <w:b/>
          <w:sz w:val="32"/>
          <w:szCs w:val="32"/>
        </w:rPr>
      </w:pPr>
      <w:bookmarkStart w:id="106" w:name="_Toc438969749"/>
      <w:bookmarkStart w:id="107" w:name="_Toc438974540"/>
      <w:r>
        <w:rPr>
          <w:rFonts w:hint="eastAsia" w:ascii="仿宋_GB2312" w:eastAsia="仿宋_GB2312"/>
          <w:b/>
          <w:sz w:val="32"/>
          <w:szCs w:val="32"/>
        </w:rPr>
        <w:t>（三）专业师资</w:t>
      </w:r>
      <w:bookmarkEnd w:id="106"/>
      <w:bookmarkEnd w:id="107"/>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根据教育部颁布的《中等职业学校老师专业标准》和《中等职业学校设置标准》的有关规定，进行教师队伍建设，合理配置教师资源。专业教师学历职称结构应合理，至少应配备具有相关专业中级以上专业技术职务的专任教师2人，建立“双师型”专业老师团队，其中“双师型”教师应不低于30%；应有业务水平较高的专业带头人。</w:t>
      </w:r>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聘请行业企业高技能人才担任专业兼职教师，兼职教师应具有高级及以上职业资格或中级以上专业技术职称，能够参与学校授课、讨论等教学活动。</w:t>
      </w:r>
    </w:p>
    <w:p>
      <w:pPr>
        <w:snapToGrid w:val="0"/>
        <w:spacing w:beforeLines="0" w:line="360" w:lineRule="auto"/>
        <w:ind w:firstLine="643" w:firstLineChars="200"/>
        <w:jc w:val="left"/>
        <w:outlineLvl w:val="1"/>
        <w:rPr>
          <w:rFonts w:ascii="仿宋_GB2312" w:hAnsi="仿宋" w:eastAsia="仿宋_GB2312"/>
          <w:b/>
          <w:bCs/>
          <w:sz w:val="32"/>
          <w:szCs w:val="32"/>
        </w:rPr>
      </w:pPr>
      <w:bookmarkStart w:id="108" w:name="_Toc421211168"/>
      <w:bookmarkStart w:id="109" w:name="_Toc423458272"/>
      <w:bookmarkStart w:id="110" w:name="_Toc437332784"/>
      <w:bookmarkStart w:id="111" w:name="_Toc438974541"/>
      <w:r>
        <w:rPr>
          <w:rFonts w:hint="eastAsia" w:ascii="仿宋_GB2312" w:eastAsia="仿宋_GB2312" w:cs="仿宋_GB2312"/>
          <w:b/>
          <w:bCs/>
          <w:sz w:val="32"/>
          <w:szCs w:val="32"/>
        </w:rPr>
        <w:t>十</w:t>
      </w:r>
      <w:bookmarkEnd w:id="108"/>
      <w:bookmarkEnd w:id="109"/>
      <w:bookmarkEnd w:id="110"/>
      <w:bookmarkStart w:id="112" w:name="_Toc437332785"/>
      <w:r>
        <w:rPr>
          <w:rFonts w:hint="eastAsia" w:ascii="仿宋_GB2312" w:eastAsia="仿宋_GB2312" w:cs="仿宋_GB2312"/>
          <w:b/>
          <w:bCs/>
          <w:sz w:val="32"/>
          <w:szCs w:val="32"/>
        </w:rPr>
        <w:t>三、</w:t>
      </w:r>
      <w:r>
        <w:rPr>
          <w:rFonts w:hint="eastAsia" w:ascii="仿宋_GB2312" w:hAnsi="仿宋" w:eastAsia="仿宋_GB2312" w:cs="仿宋_GB2312"/>
          <w:b/>
          <w:bCs/>
          <w:sz w:val="32"/>
          <w:szCs w:val="32"/>
        </w:rPr>
        <w:t>教学资源开发</w:t>
      </w:r>
      <w:bookmarkEnd w:id="111"/>
    </w:p>
    <w:bookmarkEnd w:id="112"/>
    <w:p>
      <w:pPr>
        <w:snapToGrid w:val="0"/>
        <w:spacing w:beforeLines="0" w:line="360" w:lineRule="auto"/>
        <w:ind w:firstLine="560" w:firstLineChars="200"/>
        <w:rPr>
          <w:rFonts w:ascii="仿宋_GB2312" w:hAnsi="仿宋" w:eastAsia="仿宋_GB2312"/>
        </w:rPr>
      </w:pPr>
      <w:r>
        <w:rPr>
          <w:rFonts w:hint="eastAsia" w:ascii="仿宋_GB2312" w:hAnsi="仿宋" w:eastAsia="仿宋_GB2312" w:cs="仿宋_GB2312"/>
        </w:rPr>
        <w:t>以学生为主体，重视优质教学资源和网络信息资源的利用，把现代信息技术作为提高教学质量的重要手段，为学生自主学习搭建平台，为教师提供丰富的教学资源。建成的教学资源如下：</w:t>
      </w:r>
    </w:p>
    <w:p>
      <w:pPr>
        <w:snapToGrid w:val="0"/>
        <w:spacing w:beforeLines="0" w:line="360" w:lineRule="auto"/>
        <w:ind w:firstLine="562" w:firstLineChars="200"/>
        <w:rPr>
          <w:rFonts w:ascii="仿宋_GB2312" w:hAnsi="仿宋" w:eastAsia="仿宋_GB2312"/>
          <w:b/>
        </w:rPr>
      </w:pPr>
      <w:bookmarkStart w:id="113" w:name="_Toc395520579"/>
      <w:bookmarkStart w:id="114" w:name="_Toc393922823"/>
      <w:bookmarkStart w:id="115" w:name="_Toc393920219"/>
      <w:bookmarkStart w:id="116" w:name="_Toc393921939"/>
      <w:bookmarkStart w:id="117" w:name="_Toc393920401"/>
      <w:r>
        <w:rPr>
          <w:rFonts w:hint="eastAsia" w:ascii="仿宋_GB2312" w:hAnsi="仿宋" w:eastAsia="仿宋_GB2312" w:cs="仿宋_GB2312"/>
          <w:b/>
        </w:rPr>
        <w:t>1.课程教学资源</w:t>
      </w:r>
      <w:bookmarkEnd w:id="113"/>
      <w:bookmarkEnd w:id="114"/>
      <w:bookmarkEnd w:id="115"/>
      <w:bookmarkEnd w:id="116"/>
      <w:bookmarkEnd w:id="117"/>
    </w:p>
    <w:p>
      <w:pPr>
        <w:snapToGrid w:val="0"/>
        <w:spacing w:beforeLines="0" w:line="360" w:lineRule="auto"/>
        <w:ind w:firstLine="560" w:firstLineChars="200"/>
        <w:rPr>
          <w:rFonts w:ascii="仿宋_GB2312" w:hAnsi="仿宋" w:eastAsia="仿宋_GB2312"/>
        </w:rPr>
      </w:pPr>
      <w:r>
        <w:rPr>
          <w:rFonts w:hint="eastAsia" w:ascii="仿宋_GB2312" w:hAnsi="仿宋" w:eastAsia="仿宋_GB2312" w:cs="仿宋_GB2312"/>
        </w:rPr>
        <w:t>课程教学资源包括：课程标准、电子教案、多媒体教学课件，如教学PPT、教学视频、动画、图片等、助学软件、资源库、学习情境的生产案例、课程的教学引导问题、作业、习题库。</w:t>
      </w:r>
    </w:p>
    <w:p>
      <w:pPr>
        <w:snapToGrid w:val="0"/>
        <w:spacing w:beforeLines="0" w:line="360" w:lineRule="auto"/>
        <w:ind w:firstLine="562" w:firstLineChars="200"/>
        <w:rPr>
          <w:rFonts w:ascii="仿宋_GB2312" w:hAnsi="仿宋" w:eastAsia="仿宋_GB2312"/>
          <w:b/>
        </w:rPr>
      </w:pPr>
      <w:bookmarkStart w:id="118" w:name="_Toc395520580"/>
      <w:bookmarkStart w:id="119" w:name="_Toc393922824"/>
      <w:bookmarkStart w:id="120" w:name="_Toc393921940"/>
      <w:bookmarkStart w:id="121" w:name="_Toc393920402"/>
      <w:bookmarkStart w:id="122" w:name="_Toc393920220"/>
      <w:r>
        <w:rPr>
          <w:rFonts w:hint="eastAsia" w:ascii="仿宋_GB2312" w:hAnsi="仿宋" w:eastAsia="仿宋_GB2312" w:cs="仿宋_GB2312"/>
          <w:b/>
        </w:rPr>
        <w:t>2.实训教学资源</w:t>
      </w:r>
      <w:bookmarkEnd w:id="118"/>
      <w:bookmarkEnd w:id="119"/>
      <w:bookmarkEnd w:id="120"/>
      <w:bookmarkEnd w:id="121"/>
      <w:bookmarkEnd w:id="122"/>
    </w:p>
    <w:p>
      <w:pPr>
        <w:snapToGrid w:val="0"/>
        <w:spacing w:beforeLines="0" w:line="360" w:lineRule="auto"/>
        <w:ind w:firstLine="560" w:firstLineChars="200"/>
        <w:rPr>
          <w:rFonts w:ascii="仿宋_GB2312" w:hAnsi="仿宋" w:eastAsia="仿宋_GB2312"/>
        </w:rPr>
      </w:pPr>
      <w:r>
        <w:rPr>
          <w:rFonts w:hint="eastAsia" w:ascii="仿宋_GB2312" w:hAnsi="仿宋" w:eastAsia="仿宋_GB2312" w:cs="仿宋_GB2312"/>
        </w:rPr>
        <w:t>实训教学资源包括：各实训项目的实训指导书、各实训项目的实训工作单、工学交替生产实习手册、顶岗实习手册、各实训设备的操作手册、各种实训用车、实训用总成件的维修手册、技术标准、各种维修资料。</w:t>
      </w:r>
    </w:p>
    <w:p>
      <w:pPr>
        <w:snapToGrid w:val="0"/>
        <w:spacing w:beforeLines="0" w:line="360" w:lineRule="auto"/>
        <w:ind w:firstLine="562" w:firstLineChars="200"/>
        <w:rPr>
          <w:rFonts w:ascii="仿宋_GB2312" w:hAnsi="仿宋" w:eastAsia="仿宋_GB2312"/>
          <w:b/>
        </w:rPr>
      </w:pPr>
      <w:bookmarkStart w:id="123" w:name="_Toc395520581"/>
      <w:bookmarkStart w:id="124" w:name="_Toc393922825"/>
      <w:bookmarkStart w:id="125" w:name="_Toc393921941"/>
      <w:bookmarkStart w:id="126" w:name="_Toc393920403"/>
      <w:bookmarkStart w:id="127" w:name="_Toc393920221"/>
      <w:r>
        <w:rPr>
          <w:rFonts w:hint="eastAsia" w:ascii="仿宋_GB2312" w:hAnsi="仿宋" w:eastAsia="仿宋_GB2312" w:cs="仿宋_GB2312"/>
          <w:b/>
        </w:rPr>
        <w:t>3.教学辅助资源</w:t>
      </w:r>
      <w:bookmarkEnd w:id="123"/>
      <w:bookmarkEnd w:id="124"/>
      <w:bookmarkEnd w:id="125"/>
      <w:bookmarkEnd w:id="126"/>
      <w:bookmarkEnd w:id="127"/>
    </w:p>
    <w:p>
      <w:pPr>
        <w:snapToGrid w:val="0"/>
        <w:spacing w:beforeLines="0" w:line="360" w:lineRule="auto"/>
        <w:ind w:firstLine="560" w:firstLineChars="200"/>
        <w:rPr>
          <w:rFonts w:ascii="仿宋_GB2312" w:hAnsi="仿宋" w:eastAsia="仿宋_GB2312"/>
        </w:rPr>
      </w:pPr>
      <w:r>
        <w:rPr>
          <w:rFonts w:hint="eastAsia" w:ascii="仿宋_GB2312" w:hAnsi="仿宋" w:eastAsia="仿宋_GB2312" w:cs="仿宋_GB2312"/>
        </w:rPr>
        <w:t>教学辅助资源包括：各著名汽车企业的培训教材、各著名汽车品牌的产品宣传资料、各品牌汽车的使用手册、各种汽车维修专业杂志、各种汽车专业教学参考书。</w:t>
      </w:r>
    </w:p>
    <w:bookmarkEnd w:id="74"/>
    <w:p>
      <w:pPr>
        <w:snapToGrid w:val="0"/>
        <w:spacing w:beforeLines="0" w:line="360" w:lineRule="auto"/>
        <w:jc w:val="left"/>
        <w:rPr>
          <w:rFonts w:ascii="仿宋_GB2312" w:hAnsi="宋体" w:eastAsia="仿宋_GB2312"/>
        </w:rPr>
      </w:pPr>
    </w:p>
    <w:p>
      <w:pPr>
        <w:snapToGrid w:val="0"/>
        <w:spacing w:beforeLines="0" w:line="360" w:lineRule="auto"/>
        <w:ind w:firstLine="555"/>
        <w:jc w:val="left"/>
        <w:rPr>
          <w:rFonts w:ascii="仿宋_GB2312" w:hAnsi="宋体" w:eastAsia="仿宋_GB2312"/>
        </w:rPr>
      </w:pPr>
    </w:p>
    <w:sectPr>
      <w:headerReference r:id="rId17" w:type="default"/>
      <w:footerReference r:id="rId18" w:type="default"/>
      <w:pgSz w:w="11906" w:h="16838"/>
      <w:pgMar w:top="1440" w:right="1797" w:bottom="1440" w:left="179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彩云">
    <w:panose1 w:val="02010800040101010101"/>
    <w:charset w:val="86"/>
    <w:family w:val="auto"/>
    <w:pitch w:val="default"/>
    <w:sig w:usb0="00000001" w:usb1="080F0000" w:usb2="00000000" w:usb3="00000000" w:csb0="00040000" w:csb1="00000000"/>
  </w:font>
  <w:font w:name="宋体fal">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jc w:val="center"/>
    </w:pPr>
  </w:p>
  <w:p>
    <w:pPr>
      <w:pStyle w:val="10"/>
      <w:spacing w:before="7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7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Lines="0" w:after="120" w:afterLines="50" w:line="240" w:lineRule="auto"/>
    </w:pPr>
    <w:r>
      <w:rPr>
        <w:rFonts w:ascii="仿宋_GB2312" w:hAnsi="仿宋_GB2312" w:eastAsia="仿宋_GB2312"/>
        <w:b/>
        <w:bCs/>
        <w:color w:val="000000"/>
        <w:sz w:val="30"/>
        <w:szCs w:val="30"/>
      </w:rPr>
      <w:drawing>
        <wp:inline distT="0" distB="0" distL="0" distR="0">
          <wp:extent cx="1447800" cy="276225"/>
          <wp:effectExtent l="19050" t="0" r="0" b="0"/>
          <wp:docPr id="2"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6"/>
                  <pic:cNvPicPr>
                    <a:picLocks noChangeAspect="1" noChangeArrowheads="1"/>
                  </pic:cNvPicPr>
                </pic:nvPicPr>
                <pic:blipFill>
                  <a:blip r:embed="rId1"/>
                  <a:srcRect/>
                  <a:stretch>
                    <a:fillRect/>
                  </a:stretch>
                </pic:blipFill>
                <pic:spPr>
                  <a:xfrm>
                    <a:off x="0" y="0"/>
                    <a:ext cx="1447800" cy="276225"/>
                  </a:xfrm>
                  <a:prstGeom prst="rect">
                    <a:avLst/>
                  </a:prstGeom>
                  <a:noFill/>
                  <a:ln w="9525">
                    <a:noFill/>
                    <a:miter lim="800000"/>
                    <a:headEnd/>
                    <a:tailEnd/>
                  </a:ln>
                </pic:spPr>
              </pic:pic>
            </a:graphicData>
          </a:graphic>
        </wp:inline>
      </w:drawing>
    </w:r>
    <w:r>
      <w:rPr>
        <w:rFonts w:ascii="仿宋_GB2312" w:hAnsi="仿宋_GB2312" w:eastAsia="仿宋_GB2312"/>
        <w:b/>
        <w:bCs/>
        <w:color w:val="000000"/>
        <w:sz w:val="30"/>
        <w:szCs w:val="30"/>
      </w:rPr>
      <w:t xml:space="preserve">                        </w:t>
    </w:r>
    <w:r>
      <w:rPr>
        <w:rFonts w:hint="eastAsia" w:ascii="宋体" w:hAnsi="宋体" w:cs="仿宋"/>
        <w:sz w:val="18"/>
        <w:szCs w:val="18"/>
      </w:rPr>
      <w:t>人才培养模式与课程体系</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7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7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NGVkNGQ3YzBhOWFhZmQzNDE0NjlhNDJmODc5OGEifQ=="/>
  </w:docVars>
  <w:rsids>
    <w:rsidRoot w:val="00DF6E68"/>
    <w:rsid w:val="00003E24"/>
    <w:rsid w:val="000045E5"/>
    <w:rsid w:val="00013340"/>
    <w:rsid w:val="00030065"/>
    <w:rsid w:val="00032CAE"/>
    <w:rsid w:val="00035043"/>
    <w:rsid w:val="00050165"/>
    <w:rsid w:val="00052EFE"/>
    <w:rsid w:val="00061639"/>
    <w:rsid w:val="000770D4"/>
    <w:rsid w:val="00083641"/>
    <w:rsid w:val="00085901"/>
    <w:rsid w:val="0009206F"/>
    <w:rsid w:val="00097821"/>
    <w:rsid w:val="000A2E7A"/>
    <w:rsid w:val="000A57F1"/>
    <w:rsid w:val="000B2DCD"/>
    <w:rsid w:val="000C2D1E"/>
    <w:rsid w:val="000C2FF5"/>
    <w:rsid w:val="000E0C5B"/>
    <w:rsid w:val="000E402B"/>
    <w:rsid w:val="00103069"/>
    <w:rsid w:val="0010313F"/>
    <w:rsid w:val="0012056A"/>
    <w:rsid w:val="001334A9"/>
    <w:rsid w:val="00136976"/>
    <w:rsid w:val="001437E8"/>
    <w:rsid w:val="00164AC0"/>
    <w:rsid w:val="0016551A"/>
    <w:rsid w:val="0016732A"/>
    <w:rsid w:val="00177079"/>
    <w:rsid w:val="00187243"/>
    <w:rsid w:val="001902BC"/>
    <w:rsid w:val="00194AE2"/>
    <w:rsid w:val="00197322"/>
    <w:rsid w:val="00197E60"/>
    <w:rsid w:val="001A1D15"/>
    <w:rsid w:val="001A59F7"/>
    <w:rsid w:val="001B726E"/>
    <w:rsid w:val="001C4BFE"/>
    <w:rsid w:val="001E0217"/>
    <w:rsid w:val="001E03A1"/>
    <w:rsid w:val="001E5490"/>
    <w:rsid w:val="001F0848"/>
    <w:rsid w:val="001F7354"/>
    <w:rsid w:val="002066FD"/>
    <w:rsid w:val="00213F6C"/>
    <w:rsid w:val="002160D3"/>
    <w:rsid w:val="00216A41"/>
    <w:rsid w:val="00227C6A"/>
    <w:rsid w:val="00232C9D"/>
    <w:rsid w:val="00232D34"/>
    <w:rsid w:val="00235E97"/>
    <w:rsid w:val="00244031"/>
    <w:rsid w:val="0026160B"/>
    <w:rsid w:val="00264FE2"/>
    <w:rsid w:val="002677F0"/>
    <w:rsid w:val="00281100"/>
    <w:rsid w:val="002845FA"/>
    <w:rsid w:val="00285CB7"/>
    <w:rsid w:val="0029222B"/>
    <w:rsid w:val="002951F1"/>
    <w:rsid w:val="00296C0F"/>
    <w:rsid w:val="002972FC"/>
    <w:rsid w:val="002A09F4"/>
    <w:rsid w:val="002A1D51"/>
    <w:rsid w:val="002A3F4E"/>
    <w:rsid w:val="002A50A5"/>
    <w:rsid w:val="002A75AB"/>
    <w:rsid w:val="002B52FC"/>
    <w:rsid w:val="002B5B29"/>
    <w:rsid w:val="002C4621"/>
    <w:rsid w:val="002D0B30"/>
    <w:rsid w:val="002E7819"/>
    <w:rsid w:val="003032DA"/>
    <w:rsid w:val="00304B7A"/>
    <w:rsid w:val="00306DF3"/>
    <w:rsid w:val="00333B3C"/>
    <w:rsid w:val="0033703C"/>
    <w:rsid w:val="00342070"/>
    <w:rsid w:val="00355D6A"/>
    <w:rsid w:val="003643F2"/>
    <w:rsid w:val="00364BFA"/>
    <w:rsid w:val="00367DB7"/>
    <w:rsid w:val="003A11B2"/>
    <w:rsid w:val="003B0A81"/>
    <w:rsid w:val="003C3FEE"/>
    <w:rsid w:val="003C5AFB"/>
    <w:rsid w:val="003C7BB7"/>
    <w:rsid w:val="003E304E"/>
    <w:rsid w:val="003F5F1E"/>
    <w:rsid w:val="003F7F70"/>
    <w:rsid w:val="00405F08"/>
    <w:rsid w:val="00411105"/>
    <w:rsid w:val="00414419"/>
    <w:rsid w:val="00417597"/>
    <w:rsid w:val="00417E14"/>
    <w:rsid w:val="0042032A"/>
    <w:rsid w:val="00425EDA"/>
    <w:rsid w:val="00426BBD"/>
    <w:rsid w:val="004301C1"/>
    <w:rsid w:val="00446FBA"/>
    <w:rsid w:val="00460B88"/>
    <w:rsid w:val="004640B9"/>
    <w:rsid w:val="00465DE8"/>
    <w:rsid w:val="00477631"/>
    <w:rsid w:val="00481A55"/>
    <w:rsid w:val="00483029"/>
    <w:rsid w:val="004A5956"/>
    <w:rsid w:val="004B2339"/>
    <w:rsid w:val="004B4D84"/>
    <w:rsid w:val="004C5598"/>
    <w:rsid w:val="004C76C4"/>
    <w:rsid w:val="004D0745"/>
    <w:rsid w:val="004D2C95"/>
    <w:rsid w:val="004D4132"/>
    <w:rsid w:val="004D6722"/>
    <w:rsid w:val="004D7E5D"/>
    <w:rsid w:val="004E744B"/>
    <w:rsid w:val="004F099C"/>
    <w:rsid w:val="004F5650"/>
    <w:rsid w:val="004F79DA"/>
    <w:rsid w:val="00510891"/>
    <w:rsid w:val="00511D06"/>
    <w:rsid w:val="00514CC5"/>
    <w:rsid w:val="0052201C"/>
    <w:rsid w:val="00523FCF"/>
    <w:rsid w:val="00531F0F"/>
    <w:rsid w:val="00536624"/>
    <w:rsid w:val="00556F92"/>
    <w:rsid w:val="00566FE5"/>
    <w:rsid w:val="00581F6C"/>
    <w:rsid w:val="005856B6"/>
    <w:rsid w:val="005919DD"/>
    <w:rsid w:val="005A0A0C"/>
    <w:rsid w:val="005C1DE8"/>
    <w:rsid w:val="005C35E4"/>
    <w:rsid w:val="005E1F4C"/>
    <w:rsid w:val="005E454A"/>
    <w:rsid w:val="005F19B2"/>
    <w:rsid w:val="0060138F"/>
    <w:rsid w:val="00616BB5"/>
    <w:rsid w:val="0062285A"/>
    <w:rsid w:val="0063296D"/>
    <w:rsid w:val="00634047"/>
    <w:rsid w:val="006436B4"/>
    <w:rsid w:val="00646814"/>
    <w:rsid w:val="00647578"/>
    <w:rsid w:val="006621C0"/>
    <w:rsid w:val="006625DE"/>
    <w:rsid w:val="0068167C"/>
    <w:rsid w:val="0068259A"/>
    <w:rsid w:val="00685604"/>
    <w:rsid w:val="00692233"/>
    <w:rsid w:val="006C4004"/>
    <w:rsid w:val="006D7C5C"/>
    <w:rsid w:val="006F0874"/>
    <w:rsid w:val="006F50AA"/>
    <w:rsid w:val="007116CE"/>
    <w:rsid w:val="007364EB"/>
    <w:rsid w:val="00742CDC"/>
    <w:rsid w:val="00745BEF"/>
    <w:rsid w:val="00750C67"/>
    <w:rsid w:val="00756B8C"/>
    <w:rsid w:val="0076034C"/>
    <w:rsid w:val="00765590"/>
    <w:rsid w:val="007659F3"/>
    <w:rsid w:val="0078663F"/>
    <w:rsid w:val="007924C5"/>
    <w:rsid w:val="0079696B"/>
    <w:rsid w:val="007A59F7"/>
    <w:rsid w:val="007C0E65"/>
    <w:rsid w:val="007E074F"/>
    <w:rsid w:val="007E6148"/>
    <w:rsid w:val="007F283F"/>
    <w:rsid w:val="007F7857"/>
    <w:rsid w:val="008108CA"/>
    <w:rsid w:val="00820123"/>
    <w:rsid w:val="008256C4"/>
    <w:rsid w:val="008275C5"/>
    <w:rsid w:val="0083299C"/>
    <w:rsid w:val="00837038"/>
    <w:rsid w:val="0084247B"/>
    <w:rsid w:val="008534AF"/>
    <w:rsid w:val="008545D9"/>
    <w:rsid w:val="00860AEE"/>
    <w:rsid w:val="00866463"/>
    <w:rsid w:val="00873231"/>
    <w:rsid w:val="00876E09"/>
    <w:rsid w:val="008831F7"/>
    <w:rsid w:val="008870E8"/>
    <w:rsid w:val="00893457"/>
    <w:rsid w:val="008A1EB2"/>
    <w:rsid w:val="008A5038"/>
    <w:rsid w:val="008A5769"/>
    <w:rsid w:val="008B1AF4"/>
    <w:rsid w:val="008B35C4"/>
    <w:rsid w:val="008C1170"/>
    <w:rsid w:val="008C337B"/>
    <w:rsid w:val="008C610A"/>
    <w:rsid w:val="008D1FE9"/>
    <w:rsid w:val="008E0804"/>
    <w:rsid w:val="008E2791"/>
    <w:rsid w:val="008F08C7"/>
    <w:rsid w:val="008F7D72"/>
    <w:rsid w:val="00901D3F"/>
    <w:rsid w:val="00902223"/>
    <w:rsid w:val="00902DCA"/>
    <w:rsid w:val="0093616D"/>
    <w:rsid w:val="009403A3"/>
    <w:rsid w:val="009478BF"/>
    <w:rsid w:val="009540F8"/>
    <w:rsid w:val="009612CD"/>
    <w:rsid w:val="0096151D"/>
    <w:rsid w:val="00962173"/>
    <w:rsid w:val="009704B6"/>
    <w:rsid w:val="00971AD9"/>
    <w:rsid w:val="00976E63"/>
    <w:rsid w:val="00977579"/>
    <w:rsid w:val="00980F28"/>
    <w:rsid w:val="00986BFA"/>
    <w:rsid w:val="009924CB"/>
    <w:rsid w:val="00996EDD"/>
    <w:rsid w:val="00996F3E"/>
    <w:rsid w:val="009A0AD0"/>
    <w:rsid w:val="009A0C8A"/>
    <w:rsid w:val="009B4CF5"/>
    <w:rsid w:val="009C2E0D"/>
    <w:rsid w:val="009C7292"/>
    <w:rsid w:val="009D22BB"/>
    <w:rsid w:val="009E5211"/>
    <w:rsid w:val="009E60AC"/>
    <w:rsid w:val="00A02390"/>
    <w:rsid w:val="00A025D0"/>
    <w:rsid w:val="00A0419A"/>
    <w:rsid w:val="00A1178D"/>
    <w:rsid w:val="00A141D8"/>
    <w:rsid w:val="00A24BE2"/>
    <w:rsid w:val="00A32588"/>
    <w:rsid w:val="00A52603"/>
    <w:rsid w:val="00A54006"/>
    <w:rsid w:val="00A66618"/>
    <w:rsid w:val="00A713BB"/>
    <w:rsid w:val="00A71E9D"/>
    <w:rsid w:val="00A860CB"/>
    <w:rsid w:val="00A91307"/>
    <w:rsid w:val="00A9627F"/>
    <w:rsid w:val="00A97890"/>
    <w:rsid w:val="00A97DAC"/>
    <w:rsid w:val="00AA0D69"/>
    <w:rsid w:val="00AA3118"/>
    <w:rsid w:val="00AC1FB3"/>
    <w:rsid w:val="00AC3593"/>
    <w:rsid w:val="00AC7620"/>
    <w:rsid w:val="00AD25B8"/>
    <w:rsid w:val="00AE61CB"/>
    <w:rsid w:val="00AF024D"/>
    <w:rsid w:val="00B01469"/>
    <w:rsid w:val="00B051BA"/>
    <w:rsid w:val="00B06BC1"/>
    <w:rsid w:val="00B1067E"/>
    <w:rsid w:val="00B11133"/>
    <w:rsid w:val="00B16C4D"/>
    <w:rsid w:val="00B176B8"/>
    <w:rsid w:val="00B25285"/>
    <w:rsid w:val="00B34918"/>
    <w:rsid w:val="00B42128"/>
    <w:rsid w:val="00B544D8"/>
    <w:rsid w:val="00B61EAF"/>
    <w:rsid w:val="00B66A27"/>
    <w:rsid w:val="00B74D55"/>
    <w:rsid w:val="00B750D7"/>
    <w:rsid w:val="00B95D11"/>
    <w:rsid w:val="00B96B7C"/>
    <w:rsid w:val="00BB57B2"/>
    <w:rsid w:val="00BF384C"/>
    <w:rsid w:val="00BF4B68"/>
    <w:rsid w:val="00BF6CCE"/>
    <w:rsid w:val="00C050C8"/>
    <w:rsid w:val="00C10F55"/>
    <w:rsid w:val="00C1129F"/>
    <w:rsid w:val="00C220BE"/>
    <w:rsid w:val="00C2722D"/>
    <w:rsid w:val="00C3545C"/>
    <w:rsid w:val="00C42715"/>
    <w:rsid w:val="00C44DB3"/>
    <w:rsid w:val="00C45D96"/>
    <w:rsid w:val="00C65E38"/>
    <w:rsid w:val="00C65E73"/>
    <w:rsid w:val="00C74274"/>
    <w:rsid w:val="00C75B74"/>
    <w:rsid w:val="00C76D4B"/>
    <w:rsid w:val="00C76D66"/>
    <w:rsid w:val="00C84AE1"/>
    <w:rsid w:val="00C86384"/>
    <w:rsid w:val="00C901F3"/>
    <w:rsid w:val="00C918D2"/>
    <w:rsid w:val="00C93D40"/>
    <w:rsid w:val="00C9439E"/>
    <w:rsid w:val="00CA66E0"/>
    <w:rsid w:val="00CB5F26"/>
    <w:rsid w:val="00CB66AA"/>
    <w:rsid w:val="00CC125E"/>
    <w:rsid w:val="00CC6B9A"/>
    <w:rsid w:val="00CC7614"/>
    <w:rsid w:val="00CD08DB"/>
    <w:rsid w:val="00CE6807"/>
    <w:rsid w:val="00CF2E5B"/>
    <w:rsid w:val="00D06F1B"/>
    <w:rsid w:val="00D07E36"/>
    <w:rsid w:val="00D11C01"/>
    <w:rsid w:val="00D145C3"/>
    <w:rsid w:val="00D1666F"/>
    <w:rsid w:val="00D21B9D"/>
    <w:rsid w:val="00D27BDB"/>
    <w:rsid w:val="00D32BC0"/>
    <w:rsid w:val="00D40ADF"/>
    <w:rsid w:val="00D41943"/>
    <w:rsid w:val="00D551B0"/>
    <w:rsid w:val="00D55318"/>
    <w:rsid w:val="00D5659C"/>
    <w:rsid w:val="00D66514"/>
    <w:rsid w:val="00D711F9"/>
    <w:rsid w:val="00D72FB3"/>
    <w:rsid w:val="00D81018"/>
    <w:rsid w:val="00D85FB4"/>
    <w:rsid w:val="00DA570D"/>
    <w:rsid w:val="00DB04C9"/>
    <w:rsid w:val="00DB3963"/>
    <w:rsid w:val="00DB4B8B"/>
    <w:rsid w:val="00DB7A32"/>
    <w:rsid w:val="00DD1C0E"/>
    <w:rsid w:val="00DD5EF2"/>
    <w:rsid w:val="00DE4A2D"/>
    <w:rsid w:val="00DE51B5"/>
    <w:rsid w:val="00DE5B98"/>
    <w:rsid w:val="00DF25E2"/>
    <w:rsid w:val="00DF2DCD"/>
    <w:rsid w:val="00DF6E68"/>
    <w:rsid w:val="00E16D86"/>
    <w:rsid w:val="00E17A4E"/>
    <w:rsid w:val="00E262A6"/>
    <w:rsid w:val="00E310D4"/>
    <w:rsid w:val="00E36D29"/>
    <w:rsid w:val="00E61908"/>
    <w:rsid w:val="00E65BE2"/>
    <w:rsid w:val="00E77BE4"/>
    <w:rsid w:val="00E85196"/>
    <w:rsid w:val="00E908FC"/>
    <w:rsid w:val="00EA07EA"/>
    <w:rsid w:val="00EB5C35"/>
    <w:rsid w:val="00EB6760"/>
    <w:rsid w:val="00EC244E"/>
    <w:rsid w:val="00EC4ECD"/>
    <w:rsid w:val="00EE188E"/>
    <w:rsid w:val="00EE3E8C"/>
    <w:rsid w:val="00EF4AD6"/>
    <w:rsid w:val="00F00E33"/>
    <w:rsid w:val="00F07301"/>
    <w:rsid w:val="00F11B22"/>
    <w:rsid w:val="00F1623B"/>
    <w:rsid w:val="00F34735"/>
    <w:rsid w:val="00F358F0"/>
    <w:rsid w:val="00F43CD6"/>
    <w:rsid w:val="00F43D1C"/>
    <w:rsid w:val="00F5712E"/>
    <w:rsid w:val="00F674DD"/>
    <w:rsid w:val="00F72AF5"/>
    <w:rsid w:val="00F739C4"/>
    <w:rsid w:val="00F75B72"/>
    <w:rsid w:val="00F86589"/>
    <w:rsid w:val="00F9770D"/>
    <w:rsid w:val="00FB4AB6"/>
    <w:rsid w:val="00FC74E1"/>
    <w:rsid w:val="00FD1B17"/>
    <w:rsid w:val="00FE1656"/>
    <w:rsid w:val="00FF10A3"/>
    <w:rsid w:val="00FF1D71"/>
    <w:rsid w:val="00FF329F"/>
    <w:rsid w:val="00FF5DF9"/>
    <w:rsid w:val="0AE76905"/>
    <w:rsid w:val="347D795C"/>
    <w:rsid w:val="6D8057BC"/>
    <w:rsid w:val="73EA7E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qFormat="1" w:unhideWhenUsed="0" w:uiPriority="99" w:name="footnote text"/>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qFormat="1" w:unhideWhenUsed="0" w:uiPriority="99" w:name="footnote reference"/>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30" w:line="312" w:lineRule="auto"/>
      <w:jc w:val="both"/>
    </w:pPr>
    <w:rPr>
      <w:rFonts w:ascii="Times New Roman" w:hAnsi="Times New Roman" w:eastAsia="仿宋" w:cs="Times New Roman"/>
      <w:kern w:val="2"/>
      <w:sz w:val="28"/>
      <w:szCs w:val="28"/>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kern w:val="44"/>
      <w:sz w:val="44"/>
      <w:szCs w:val="20"/>
    </w:rPr>
  </w:style>
  <w:style w:type="paragraph" w:styleId="3">
    <w:name w:val="heading 2"/>
    <w:basedOn w:val="1"/>
    <w:next w:val="1"/>
    <w:link w:val="25"/>
    <w:qFormat/>
    <w:uiPriority w:val="99"/>
    <w:pPr>
      <w:keepNext/>
      <w:keepLines/>
      <w:spacing w:before="260" w:after="260" w:line="416" w:lineRule="auto"/>
      <w:outlineLvl w:val="1"/>
    </w:pPr>
    <w:rPr>
      <w:rFonts w:ascii="Arial" w:hAnsi="Arial" w:eastAsia="黑体"/>
      <w:b/>
      <w:kern w:val="0"/>
      <w:sz w:val="32"/>
      <w:szCs w:val="20"/>
    </w:rPr>
  </w:style>
  <w:style w:type="paragraph" w:styleId="4">
    <w:name w:val="heading 3"/>
    <w:basedOn w:val="1"/>
    <w:next w:val="1"/>
    <w:link w:val="28"/>
    <w:qFormat/>
    <w:uiPriority w:val="99"/>
    <w:pPr>
      <w:keepNext/>
      <w:keepLines/>
      <w:ind w:firstLine="100" w:firstLineChars="100"/>
      <w:outlineLvl w:val="2"/>
    </w:pPr>
    <w:rPr>
      <w:rFonts w:eastAsia="仿宋_GB2312"/>
      <w:kern w:val="0"/>
      <w:sz w:val="32"/>
      <w:szCs w:val="20"/>
    </w:rPr>
  </w:style>
  <w:style w:type="paragraph" w:styleId="5">
    <w:name w:val="heading 4"/>
    <w:basedOn w:val="1"/>
    <w:next w:val="1"/>
    <w:link w:val="27"/>
    <w:qFormat/>
    <w:uiPriority w:val="99"/>
    <w:pPr>
      <w:keepNext/>
      <w:keepLines/>
      <w:spacing w:before="280" w:after="290" w:line="376" w:lineRule="auto"/>
      <w:outlineLvl w:val="3"/>
    </w:pPr>
    <w:rPr>
      <w:rFonts w:ascii="Cambria" w:hAnsi="Cambria" w:eastAsia="宋体"/>
      <w:b/>
      <w:kern w:val="0"/>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0"/>
    <w:semiHidden/>
    <w:qFormat/>
    <w:uiPriority w:val="99"/>
    <w:rPr>
      <w:rFonts w:ascii="宋体" w:eastAsia="宋体"/>
      <w:kern w:val="0"/>
      <w:sz w:val="18"/>
      <w:szCs w:val="20"/>
    </w:rPr>
  </w:style>
  <w:style w:type="paragraph" w:styleId="7">
    <w:name w:val="toc 3"/>
    <w:basedOn w:val="1"/>
    <w:next w:val="1"/>
    <w:semiHidden/>
    <w:qFormat/>
    <w:uiPriority w:val="99"/>
    <w:pPr>
      <w:ind w:left="840" w:leftChars="400"/>
    </w:pPr>
  </w:style>
  <w:style w:type="paragraph" w:styleId="8">
    <w:name w:val="Date"/>
    <w:basedOn w:val="1"/>
    <w:next w:val="1"/>
    <w:link w:val="31"/>
    <w:qFormat/>
    <w:uiPriority w:val="99"/>
    <w:pPr>
      <w:ind w:left="100" w:leftChars="2500"/>
    </w:pPr>
    <w:rPr>
      <w:kern w:val="0"/>
      <w:sz w:val="20"/>
      <w:szCs w:val="20"/>
    </w:rPr>
  </w:style>
  <w:style w:type="paragraph" w:styleId="9">
    <w:name w:val="Balloon Text"/>
    <w:basedOn w:val="1"/>
    <w:link w:val="33"/>
    <w:semiHidden/>
    <w:qFormat/>
    <w:uiPriority w:val="99"/>
    <w:pPr>
      <w:spacing w:line="240" w:lineRule="auto"/>
    </w:pPr>
    <w:rPr>
      <w:rFonts w:eastAsia="仿宋_GB2312"/>
      <w:kern w:val="0"/>
      <w:sz w:val="18"/>
      <w:szCs w:val="20"/>
    </w:rPr>
  </w:style>
  <w:style w:type="paragraph" w:styleId="10">
    <w:name w:val="footer"/>
    <w:basedOn w:val="1"/>
    <w:link w:val="34"/>
    <w:qFormat/>
    <w:uiPriority w:val="99"/>
    <w:pPr>
      <w:tabs>
        <w:tab w:val="center" w:pos="4153"/>
        <w:tab w:val="right" w:pos="8306"/>
      </w:tabs>
      <w:snapToGrid w:val="0"/>
      <w:jc w:val="left"/>
    </w:pPr>
    <w:rPr>
      <w:rFonts w:ascii="Calibri" w:hAnsi="Calibri" w:eastAsia="宋体"/>
      <w:kern w:val="0"/>
      <w:sz w:val="18"/>
      <w:szCs w:val="20"/>
    </w:rPr>
  </w:style>
  <w:style w:type="paragraph" w:styleId="11">
    <w:name w:val="header"/>
    <w:basedOn w:val="1"/>
    <w:link w:val="36"/>
    <w:qFormat/>
    <w:uiPriority w:val="99"/>
    <w:pPr>
      <w:pBdr>
        <w:bottom w:val="single" w:color="auto" w:sz="6" w:space="1"/>
      </w:pBdr>
      <w:tabs>
        <w:tab w:val="center" w:pos="4153"/>
        <w:tab w:val="right" w:pos="8306"/>
      </w:tabs>
      <w:snapToGrid w:val="0"/>
      <w:jc w:val="center"/>
    </w:pPr>
    <w:rPr>
      <w:rFonts w:ascii="Calibri" w:hAnsi="Calibri" w:eastAsia="宋体"/>
      <w:kern w:val="0"/>
      <w:sz w:val="18"/>
      <w:szCs w:val="20"/>
    </w:rPr>
  </w:style>
  <w:style w:type="paragraph" w:styleId="12">
    <w:name w:val="toc 1"/>
    <w:basedOn w:val="1"/>
    <w:next w:val="1"/>
    <w:qFormat/>
    <w:uiPriority w:val="39"/>
  </w:style>
  <w:style w:type="paragraph" w:styleId="13">
    <w:name w:val="Subtitle"/>
    <w:basedOn w:val="1"/>
    <w:next w:val="1"/>
    <w:link w:val="38"/>
    <w:qFormat/>
    <w:uiPriority w:val="99"/>
    <w:pPr>
      <w:spacing w:before="240" w:after="60"/>
      <w:jc w:val="center"/>
      <w:outlineLvl w:val="1"/>
    </w:pPr>
    <w:rPr>
      <w:rFonts w:ascii="Cambria" w:hAnsi="Cambria" w:eastAsia="宋体"/>
      <w:b/>
      <w:kern w:val="28"/>
      <w:sz w:val="32"/>
      <w:szCs w:val="20"/>
    </w:rPr>
  </w:style>
  <w:style w:type="paragraph" w:styleId="14">
    <w:name w:val="footnote text"/>
    <w:basedOn w:val="1"/>
    <w:link w:val="39"/>
    <w:semiHidden/>
    <w:qFormat/>
    <w:uiPriority w:val="99"/>
    <w:pPr>
      <w:snapToGrid w:val="0"/>
      <w:jc w:val="left"/>
    </w:pPr>
    <w:rPr>
      <w:kern w:val="0"/>
      <w:sz w:val="18"/>
      <w:szCs w:val="20"/>
    </w:rPr>
  </w:style>
  <w:style w:type="paragraph" w:styleId="15">
    <w:name w:val="toc 2"/>
    <w:basedOn w:val="1"/>
    <w:next w:val="1"/>
    <w:qFormat/>
    <w:uiPriority w:val="39"/>
    <w:pPr>
      <w:ind w:left="420" w:leftChars="200"/>
    </w:pPr>
  </w:style>
  <w:style w:type="paragraph" w:styleId="16">
    <w:name w:val="HTML Preformatted"/>
    <w:basedOn w:val="1"/>
    <w:link w:val="4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240" w:lineRule="auto"/>
      <w:jc w:val="left"/>
    </w:pPr>
    <w:rPr>
      <w:rFonts w:ascii="Courier New" w:hAnsi="Courier New" w:eastAsia="仿宋_GB2312"/>
      <w:kern w:val="0"/>
      <w:sz w:val="20"/>
      <w:szCs w:val="20"/>
    </w:rPr>
  </w:style>
  <w:style w:type="paragraph" w:styleId="17">
    <w:name w:val="Title"/>
    <w:basedOn w:val="1"/>
    <w:next w:val="1"/>
    <w:link w:val="42"/>
    <w:qFormat/>
    <w:uiPriority w:val="99"/>
    <w:pPr>
      <w:spacing w:before="240" w:after="60"/>
      <w:jc w:val="center"/>
      <w:outlineLvl w:val="0"/>
    </w:pPr>
    <w:rPr>
      <w:rFonts w:ascii="Cambria" w:hAnsi="Cambria" w:eastAsia="宋体"/>
      <w:b/>
      <w:kern w:val="0"/>
      <w:sz w:val="32"/>
      <w:szCs w:val="20"/>
    </w:rPr>
  </w:style>
  <w:style w:type="table" w:styleId="19">
    <w:name w:val="Table Grid"/>
    <w:basedOn w:val="18"/>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99"/>
    <w:rPr>
      <w:rFonts w:cs="Times New Roman"/>
    </w:rPr>
  </w:style>
  <w:style w:type="character" w:styleId="22">
    <w:name w:val="Hyperlink"/>
    <w:qFormat/>
    <w:uiPriority w:val="99"/>
    <w:rPr>
      <w:rFonts w:cs="Times New Roman"/>
      <w:color w:val="0000FF"/>
      <w:u w:val="single"/>
    </w:rPr>
  </w:style>
  <w:style w:type="character" w:styleId="23">
    <w:name w:val="footnote reference"/>
    <w:semiHidden/>
    <w:qFormat/>
    <w:uiPriority w:val="99"/>
    <w:rPr>
      <w:rFonts w:cs="Times New Roman"/>
      <w:vertAlign w:val="superscript"/>
    </w:rPr>
  </w:style>
  <w:style w:type="character" w:customStyle="1" w:styleId="24">
    <w:name w:val="标题 1 字符"/>
    <w:link w:val="2"/>
    <w:qFormat/>
    <w:locked/>
    <w:uiPriority w:val="99"/>
    <w:rPr>
      <w:rFonts w:ascii="Times New Roman" w:hAnsi="Times New Roman" w:eastAsia="仿宋"/>
      <w:b/>
      <w:kern w:val="44"/>
      <w:sz w:val="44"/>
    </w:rPr>
  </w:style>
  <w:style w:type="character" w:customStyle="1" w:styleId="25">
    <w:name w:val="标题 2 字符"/>
    <w:link w:val="3"/>
    <w:qFormat/>
    <w:locked/>
    <w:uiPriority w:val="99"/>
    <w:rPr>
      <w:rFonts w:ascii="Arial" w:hAnsi="Arial" w:eastAsia="黑体"/>
      <w:b/>
      <w:kern w:val="0"/>
      <w:sz w:val="32"/>
    </w:rPr>
  </w:style>
  <w:style w:type="character" w:customStyle="1" w:styleId="26">
    <w:name w:val="Heading 3 Char"/>
    <w:qFormat/>
    <w:locked/>
    <w:uiPriority w:val="99"/>
    <w:rPr>
      <w:b/>
      <w:sz w:val="32"/>
    </w:rPr>
  </w:style>
  <w:style w:type="character" w:customStyle="1" w:styleId="27">
    <w:name w:val="标题 4 字符"/>
    <w:link w:val="5"/>
    <w:qFormat/>
    <w:locked/>
    <w:uiPriority w:val="99"/>
    <w:rPr>
      <w:rFonts w:ascii="Cambria" w:hAnsi="Cambria" w:eastAsia="宋体"/>
      <w:b/>
      <w:kern w:val="0"/>
      <w:sz w:val="28"/>
    </w:rPr>
  </w:style>
  <w:style w:type="character" w:customStyle="1" w:styleId="28">
    <w:name w:val="标题 3 字符"/>
    <w:link w:val="4"/>
    <w:qFormat/>
    <w:locked/>
    <w:uiPriority w:val="99"/>
    <w:rPr>
      <w:rFonts w:ascii="Times New Roman" w:hAnsi="Times New Roman" w:eastAsia="仿宋_GB2312"/>
      <w:kern w:val="0"/>
      <w:sz w:val="32"/>
    </w:rPr>
  </w:style>
  <w:style w:type="character" w:customStyle="1" w:styleId="29">
    <w:name w:val="Document Map Char"/>
    <w:qFormat/>
    <w:locked/>
    <w:uiPriority w:val="99"/>
    <w:rPr>
      <w:rFonts w:ascii="宋体" w:hAnsi="Times New Roman"/>
      <w:sz w:val="18"/>
    </w:rPr>
  </w:style>
  <w:style w:type="character" w:customStyle="1" w:styleId="30">
    <w:name w:val="文档结构图 字符"/>
    <w:link w:val="6"/>
    <w:semiHidden/>
    <w:qFormat/>
    <w:locked/>
    <w:uiPriority w:val="99"/>
    <w:rPr>
      <w:rFonts w:ascii="宋体" w:hAnsi="Times New Roman" w:eastAsia="宋体"/>
      <w:kern w:val="0"/>
      <w:sz w:val="18"/>
    </w:rPr>
  </w:style>
  <w:style w:type="character" w:customStyle="1" w:styleId="31">
    <w:name w:val="日期 字符"/>
    <w:link w:val="8"/>
    <w:qFormat/>
    <w:locked/>
    <w:uiPriority w:val="99"/>
    <w:rPr>
      <w:rFonts w:ascii="Times New Roman" w:hAnsi="Times New Roman" w:eastAsia="仿宋"/>
      <w:kern w:val="0"/>
      <w:sz w:val="20"/>
    </w:rPr>
  </w:style>
  <w:style w:type="character" w:customStyle="1" w:styleId="32">
    <w:name w:val="Balloon Text Char"/>
    <w:qFormat/>
    <w:locked/>
    <w:uiPriority w:val="99"/>
    <w:rPr>
      <w:rFonts w:ascii="Times New Roman" w:hAnsi="Times New Roman" w:eastAsia="仿宋_GB2312"/>
      <w:sz w:val="18"/>
    </w:rPr>
  </w:style>
  <w:style w:type="character" w:customStyle="1" w:styleId="33">
    <w:name w:val="批注框文本 字符"/>
    <w:link w:val="9"/>
    <w:semiHidden/>
    <w:qFormat/>
    <w:locked/>
    <w:uiPriority w:val="99"/>
    <w:rPr>
      <w:rFonts w:ascii="Times New Roman" w:hAnsi="Times New Roman" w:eastAsia="仿宋_GB2312"/>
      <w:kern w:val="0"/>
      <w:sz w:val="18"/>
    </w:rPr>
  </w:style>
  <w:style w:type="character" w:customStyle="1" w:styleId="34">
    <w:name w:val="页脚 字符"/>
    <w:link w:val="10"/>
    <w:qFormat/>
    <w:locked/>
    <w:uiPriority w:val="99"/>
    <w:rPr>
      <w:rFonts w:ascii="Calibri" w:hAnsi="Calibri" w:eastAsia="宋体"/>
      <w:kern w:val="0"/>
      <w:sz w:val="18"/>
    </w:rPr>
  </w:style>
  <w:style w:type="character" w:customStyle="1" w:styleId="35">
    <w:name w:val="页脚 Char"/>
    <w:qFormat/>
    <w:uiPriority w:val="99"/>
    <w:rPr>
      <w:rFonts w:ascii="Times New Roman" w:hAnsi="Times New Roman" w:eastAsia="仿宋"/>
      <w:sz w:val="18"/>
    </w:rPr>
  </w:style>
  <w:style w:type="character" w:customStyle="1" w:styleId="36">
    <w:name w:val="页眉 字符"/>
    <w:link w:val="11"/>
    <w:qFormat/>
    <w:locked/>
    <w:uiPriority w:val="99"/>
    <w:rPr>
      <w:rFonts w:ascii="Calibri" w:hAnsi="Calibri" w:eastAsia="宋体"/>
      <w:kern w:val="0"/>
      <w:sz w:val="18"/>
    </w:rPr>
  </w:style>
  <w:style w:type="character" w:customStyle="1" w:styleId="37">
    <w:name w:val="页眉 Char"/>
    <w:qFormat/>
    <w:uiPriority w:val="99"/>
    <w:rPr>
      <w:rFonts w:ascii="Times New Roman" w:hAnsi="Times New Roman" w:eastAsia="仿宋"/>
      <w:sz w:val="18"/>
    </w:rPr>
  </w:style>
  <w:style w:type="character" w:customStyle="1" w:styleId="38">
    <w:name w:val="副标题 字符"/>
    <w:link w:val="13"/>
    <w:qFormat/>
    <w:locked/>
    <w:uiPriority w:val="99"/>
    <w:rPr>
      <w:rFonts w:ascii="Cambria" w:hAnsi="Cambria" w:eastAsia="宋体"/>
      <w:b/>
      <w:kern w:val="28"/>
      <w:sz w:val="32"/>
    </w:rPr>
  </w:style>
  <w:style w:type="character" w:customStyle="1" w:styleId="39">
    <w:name w:val="脚注文本 字符"/>
    <w:link w:val="14"/>
    <w:semiHidden/>
    <w:qFormat/>
    <w:locked/>
    <w:uiPriority w:val="99"/>
    <w:rPr>
      <w:rFonts w:ascii="Times New Roman" w:hAnsi="Times New Roman" w:eastAsia="仿宋"/>
      <w:kern w:val="0"/>
      <w:sz w:val="18"/>
    </w:rPr>
  </w:style>
  <w:style w:type="character" w:customStyle="1" w:styleId="40">
    <w:name w:val="HTML Preformatted Char"/>
    <w:qFormat/>
    <w:locked/>
    <w:uiPriority w:val="99"/>
    <w:rPr>
      <w:rFonts w:ascii="Courier New" w:hAnsi="Courier New" w:eastAsia="仿宋_GB2312"/>
      <w:sz w:val="20"/>
    </w:rPr>
  </w:style>
  <w:style w:type="character" w:customStyle="1" w:styleId="41">
    <w:name w:val="HTML 预设格式 字符"/>
    <w:link w:val="16"/>
    <w:qFormat/>
    <w:locked/>
    <w:uiPriority w:val="99"/>
    <w:rPr>
      <w:rFonts w:ascii="Courier New" w:hAnsi="Courier New" w:eastAsia="仿宋_GB2312"/>
      <w:kern w:val="0"/>
      <w:sz w:val="20"/>
    </w:rPr>
  </w:style>
  <w:style w:type="character" w:customStyle="1" w:styleId="42">
    <w:name w:val="标题 字符"/>
    <w:link w:val="17"/>
    <w:qFormat/>
    <w:locked/>
    <w:uiPriority w:val="99"/>
    <w:rPr>
      <w:rFonts w:ascii="Cambria" w:hAnsi="Cambria" w:eastAsia="宋体"/>
      <w:b/>
      <w:kern w:val="0"/>
      <w:sz w:val="32"/>
    </w:rPr>
  </w:style>
  <w:style w:type="paragraph" w:customStyle="1" w:styleId="43">
    <w:name w:val="标准三级"/>
    <w:basedOn w:val="1"/>
    <w:qFormat/>
    <w:uiPriority w:val="99"/>
    <w:pPr>
      <w:spacing w:line="560" w:lineRule="exact"/>
      <w:ind w:firstLine="562" w:firstLineChars="200"/>
    </w:pPr>
    <w:rPr>
      <w:rFonts w:ascii="仿宋_GB2312" w:eastAsia="仿宋_GB2312" w:cs="仿宋_GB2312"/>
      <w:b/>
      <w:bCs/>
      <w:color w:val="000000"/>
    </w:rPr>
  </w:style>
  <w:style w:type="paragraph" w:customStyle="1" w:styleId="44">
    <w:name w:val="无间隔1"/>
    <w:link w:val="49"/>
    <w:qFormat/>
    <w:uiPriority w:val="99"/>
    <w:rPr>
      <w:rFonts w:ascii="Calibri" w:hAnsi="Calibri" w:eastAsia="宋体" w:cs="Times New Roman"/>
      <w:sz w:val="22"/>
      <w:lang w:val="en-US" w:eastAsia="zh-CN" w:bidi="ar-SA"/>
    </w:rPr>
  </w:style>
  <w:style w:type="paragraph" w:customStyle="1" w:styleId="45">
    <w:name w:val="本文正文"/>
    <w:basedOn w:val="1"/>
    <w:link w:val="48"/>
    <w:qFormat/>
    <w:uiPriority w:val="99"/>
    <w:pPr>
      <w:widowControl/>
      <w:spacing w:beforeLines="0" w:line="480" w:lineRule="exact"/>
      <w:ind w:firstLine="200" w:firstLineChars="200"/>
      <w:jc w:val="left"/>
    </w:pPr>
    <w:rPr>
      <w:rFonts w:ascii="宋体" w:hAnsi="Calibri" w:eastAsia="宋体"/>
      <w:kern w:val="0"/>
      <w:sz w:val="24"/>
      <w:szCs w:val="20"/>
    </w:rPr>
  </w:style>
  <w:style w:type="paragraph" w:customStyle="1" w:styleId="46">
    <w:name w:val="TOC 标题1"/>
    <w:basedOn w:val="2"/>
    <w:next w:val="1"/>
    <w:qFormat/>
    <w:uiPriority w:val="99"/>
    <w:pPr>
      <w:widowControl/>
      <w:spacing w:beforeLines="0" w:after="0" w:line="276" w:lineRule="auto"/>
      <w:jc w:val="left"/>
      <w:outlineLvl w:val="9"/>
    </w:pPr>
    <w:rPr>
      <w:rFonts w:ascii="Cambria" w:hAnsi="Cambria" w:eastAsia="宋体" w:cs="Cambria"/>
      <w:color w:val="365F91"/>
      <w:kern w:val="0"/>
      <w:sz w:val="28"/>
      <w:szCs w:val="28"/>
    </w:rPr>
  </w:style>
  <w:style w:type="paragraph" w:customStyle="1" w:styleId="47">
    <w:name w:val="列出段落1"/>
    <w:basedOn w:val="1"/>
    <w:qFormat/>
    <w:uiPriority w:val="99"/>
    <w:pPr>
      <w:ind w:firstLine="420" w:firstLineChars="200"/>
    </w:pPr>
  </w:style>
  <w:style w:type="character" w:customStyle="1" w:styleId="48">
    <w:name w:val="本文正文 Char"/>
    <w:link w:val="45"/>
    <w:qFormat/>
    <w:locked/>
    <w:uiPriority w:val="99"/>
    <w:rPr>
      <w:rFonts w:ascii="宋体" w:hAnsi="Calibri" w:eastAsia="宋体"/>
      <w:kern w:val="0"/>
      <w:sz w:val="24"/>
    </w:rPr>
  </w:style>
  <w:style w:type="character" w:customStyle="1" w:styleId="49">
    <w:name w:val="无间隔 Char"/>
    <w:link w:val="44"/>
    <w:qFormat/>
    <w:locked/>
    <w:uiPriority w:val="99"/>
    <w:rPr>
      <w:sz w:val="22"/>
    </w:rPr>
  </w:style>
  <w:style w:type="character" w:customStyle="1" w:styleId="50">
    <w:name w:val="HTML 预设格式 Char1"/>
    <w:semiHidden/>
    <w:qFormat/>
    <w:uiPriority w:val="99"/>
    <w:rPr>
      <w:rFonts w:ascii="Courier New" w:hAnsi="Courier New" w:eastAsia="仿宋"/>
      <w:sz w:val="20"/>
    </w:rPr>
  </w:style>
  <w:style w:type="character" w:customStyle="1" w:styleId="51">
    <w:name w:val="批注框文本 Char1"/>
    <w:semiHidden/>
    <w:qFormat/>
    <w:uiPriority w:val="99"/>
    <w:rPr>
      <w:rFonts w:ascii="Times New Roman" w:hAnsi="Times New Roman" w:eastAsia="仿宋"/>
      <w:sz w:val="18"/>
    </w:rPr>
  </w:style>
  <w:style w:type="character" w:customStyle="1" w:styleId="52">
    <w:name w:val="文档结构图 Char1"/>
    <w:semiHidden/>
    <w:qFormat/>
    <w:uiPriority w:val="99"/>
    <w:rPr>
      <w:rFonts w:ascii="宋体" w:hAnsi="Times New Roman" w:eastAsia="宋体"/>
      <w:sz w:val="18"/>
    </w:rPr>
  </w:style>
  <w:style w:type="character" w:customStyle="1" w:styleId="53">
    <w:name w:val="占位符文本1"/>
    <w:semiHidden/>
    <w:qFormat/>
    <w:uiPriority w:val="99"/>
    <w:rPr>
      <w:color w:val="808080"/>
    </w:rPr>
  </w:style>
  <w:style w:type="paragraph" w:customStyle="1" w:styleId="54">
    <w:name w:val="List Paragraph1"/>
    <w:basedOn w:val="1"/>
    <w:qFormat/>
    <w:uiPriority w:val="99"/>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microsoft.com/office/2007/relationships/diagramDrawing" Target="diagrams/drawing1.xml"/><Relationship Id="rId24" Type="http://schemas.openxmlformats.org/officeDocument/2006/relationships/diagramColors" Target="diagrams/colors1.xml"/><Relationship Id="rId23" Type="http://schemas.openxmlformats.org/officeDocument/2006/relationships/diagramQuickStyle" Target="diagrams/quickStyle1.xml"/><Relationship Id="rId22" Type="http://schemas.openxmlformats.org/officeDocument/2006/relationships/diagramLayout" Target="diagrams/layout1.xml"/><Relationship Id="rId21" Type="http://schemas.openxmlformats.org/officeDocument/2006/relationships/diagramData" Target="diagrams/data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2F1D4ED-E9F4-4844-A317-8F77626EBFE4}" type="doc">
      <dgm:prSet loTypeId="urn:microsoft.com/office/officeart/2005/8/layout/radial4#1" loCatId="relationship" qsTypeId="urn:microsoft.com/office/officeart/2005/8/quickstyle/simple1#1" qsCatId="simple" csTypeId="urn:microsoft.com/office/officeart/2005/8/colors/accent1_2#1" csCatId="accent1" phldr="1"/>
      <dgm:spPr/>
      <dgm:t>
        <a:bodyPr/>
        <a:p>
          <a:endParaRPr lang="zh-CN" altLang="en-US"/>
        </a:p>
      </dgm:t>
    </dgm:pt>
    <dgm:pt modelId="{85C2989E-13D1-4D5A-B08F-FE0C0B653EF3}">
      <dgm:prSet phldrT="[文本]" custT="1"/>
      <dgm:spPr/>
      <dgm:t>
        <a:bodyPr/>
        <a:p>
          <a:r>
            <a:rPr lang="zh-CN" altLang="en-US" sz="1800" b="1" baseline="0"/>
            <a:t>理论教学与实践教学一体化</a:t>
          </a:r>
        </a:p>
      </dgm:t>
    </dgm:pt>
    <dgm:pt modelId="{225388DA-DBB1-4632-A331-7916D49C222E}">
      <dgm:prSet phldrT="[文本]" custT="1"/>
      <dgm:spPr/>
      <dgm:t>
        <a:bodyPr/>
        <a:p>
          <a:r>
            <a:rPr lang="zh-CN" altLang="en-US" sz="1800" b="1" baseline="0"/>
            <a:t>课程标准与职业标准一体化</a:t>
          </a:r>
        </a:p>
      </dgm:t>
    </dgm:pt>
    <dgm:pt modelId="{2B7EB29C-E94C-4835-BD42-7C7F668590B9}">
      <dgm:prSet phldrT="[文本]" custT="1"/>
      <dgm:spPr/>
      <dgm:t>
        <a:bodyPr/>
        <a:p>
          <a:r>
            <a:rPr lang="zh-CN" altLang="en-US" sz="1800" b="1"/>
            <a:t>教</a:t>
          </a:r>
          <a:r>
            <a:rPr lang="zh-CN" altLang="en-US" sz="1800" b="1" baseline="0">
              <a:solidFill>
                <a:schemeClr val="bg1"/>
              </a:solidFill>
            </a:rPr>
            <a:t>育内</a:t>
          </a:r>
          <a:r>
            <a:rPr lang="zh-CN" altLang="en-US" sz="1800" b="1"/>
            <a:t>容与岗位需求一体化</a:t>
          </a:r>
        </a:p>
      </dgm:t>
    </dgm:pt>
    <dgm:pt modelId="{4D223C72-2577-41F5-81CD-9A7A335B3F5A}">
      <dgm:prSet phldrT="[文本]" custT="1"/>
      <dgm:spPr/>
      <dgm:t>
        <a:bodyPr/>
        <a:p>
          <a:r>
            <a:rPr lang="zh-CN" altLang="en-US" sz="2000" b="1"/>
            <a:t>提高学生综合能力为主线</a:t>
          </a:r>
        </a:p>
      </dgm:t>
    </dgm:pt>
    <dgm:pt modelId="{50DA1E28-8228-436A-B2EB-2AF449D46F1B}" cxnId="{4BB6C786-D566-4335-9406-8AE4968BAB99}" type="sibTrans">
      <dgm:prSet/>
      <dgm:spPr/>
      <dgm:t>
        <a:bodyPr/>
        <a:p>
          <a:endParaRPr lang="zh-CN" altLang="en-US" b="1"/>
        </a:p>
      </dgm:t>
    </dgm:pt>
    <dgm:pt modelId="{4C174836-8B4B-431C-8403-3828DB357AAC}" cxnId="{4BB6C786-D566-4335-9406-8AE4968BAB99}" type="parTrans">
      <dgm:prSet/>
      <dgm:spPr/>
      <dgm:t>
        <a:bodyPr/>
        <a:p>
          <a:endParaRPr lang="zh-CN" altLang="en-US" b="1"/>
        </a:p>
      </dgm:t>
    </dgm:pt>
    <dgm:pt modelId="{80741A63-3B22-42AC-B41C-8A81D9193D42}" cxnId="{E8220DEC-76E9-437F-A719-725215434E56}" type="sibTrans">
      <dgm:prSet/>
      <dgm:spPr/>
      <dgm:t>
        <a:bodyPr/>
        <a:p>
          <a:endParaRPr lang="zh-CN" altLang="en-US" b="1"/>
        </a:p>
      </dgm:t>
    </dgm:pt>
    <dgm:pt modelId="{7BA9BB5A-DFAD-48D4-8B1D-F90B0988F903}" cxnId="{E8220DEC-76E9-437F-A719-725215434E56}" type="parTrans">
      <dgm:prSet/>
      <dgm:spPr/>
      <dgm:t>
        <a:bodyPr/>
        <a:p>
          <a:endParaRPr lang="zh-CN" altLang="en-US" b="1"/>
        </a:p>
      </dgm:t>
    </dgm:pt>
    <dgm:pt modelId="{B25D8DC7-5FBF-4722-8F37-22A3C1F449F9}" cxnId="{B4DA6B36-5B94-426F-A949-D8899A2C99D9}" type="sibTrans">
      <dgm:prSet/>
      <dgm:spPr/>
      <dgm:t>
        <a:bodyPr/>
        <a:p>
          <a:endParaRPr lang="zh-CN" altLang="en-US" b="1"/>
        </a:p>
      </dgm:t>
    </dgm:pt>
    <dgm:pt modelId="{F409A69B-670C-4EEA-853E-013079898C2C}" cxnId="{B4DA6B36-5B94-426F-A949-D8899A2C99D9}" type="parTrans">
      <dgm:prSet/>
      <dgm:spPr/>
      <dgm:t>
        <a:bodyPr/>
        <a:p>
          <a:endParaRPr lang="zh-CN" altLang="en-US" b="1"/>
        </a:p>
      </dgm:t>
    </dgm:pt>
    <dgm:pt modelId="{B7CD8C53-CAC1-4143-A382-8265273975F7}" cxnId="{392D4824-6755-45A1-91BA-08E3A7397415}" type="sibTrans">
      <dgm:prSet/>
      <dgm:spPr/>
      <dgm:t>
        <a:bodyPr/>
        <a:p>
          <a:endParaRPr lang="zh-CN" altLang="en-US" b="1"/>
        </a:p>
      </dgm:t>
    </dgm:pt>
    <dgm:pt modelId="{80D7F073-2417-42EF-9342-8B5AEA6B33EF}" cxnId="{392D4824-6755-45A1-91BA-08E3A7397415}" type="parTrans">
      <dgm:prSet/>
      <dgm:spPr/>
      <dgm:t>
        <a:bodyPr/>
        <a:p>
          <a:endParaRPr lang="zh-CN" altLang="en-US" b="1"/>
        </a:p>
      </dgm:t>
    </dgm:pt>
    <dgm:pt modelId="{B3115A50-9FDB-4275-8386-1FE5D438AC68}" type="pres">
      <dgm:prSet presAssocID="{82F1D4ED-E9F4-4844-A317-8F77626EBFE4}" presName="cycle" presStyleCnt="0">
        <dgm:presLayoutVars>
          <dgm:chMax val="1"/>
          <dgm:dir/>
          <dgm:animLvl val="ctr"/>
          <dgm:resizeHandles val="exact"/>
        </dgm:presLayoutVars>
      </dgm:prSet>
      <dgm:spPr/>
      <dgm:t>
        <a:bodyPr/>
        <a:p>
          <a:endParaRPr lang="zh-CN" altLang="en-US"/>
        </a:p>
      </dgm:t>
    </dgm:pt>
    <dgm:pt modelId="{7C8F2D27-936D-4FA7-9564-85F3935A2631}" type="pres">
      <dgm:prSet presAssocID="{4D223C72-2577-41F5-81CD-9A7A335B3F5A}" presName="centerShape" presStyleLbl="node0" presStyleIdx="0" presStyleCnt="1" custScaleX="157412" custScaleY="113235"/>
      <dgm:spPr/>
      <dgm:t>
        <a:bodyPr/>
        <a:p>
          <a:endParaRPr lang="zh-CN" altLang="en-US"/>
        </a:p>
      </dgm:t>
    </dgm:pt>
    <dgm:pt modelId="{E81A2982-5205-41DB-9239-4D5BF467323F}" type="pres">
      <dgm:prSet presAssocID="{80D7F073-2417-42EF-9342-8B5AEA6B33EF}" presName="parTrans" presStyleLbl="bgSibTrans2D1" presStyleIdx="0" presStyleCnt="3"/>
      <dgm:spPr/>
      <dgm:t>
        <a:bodyPr/>
        <a:p>
          <a:endParaRPr lang="zh-CN" altLang="en-US"/>
        </a:p>
      </dgm:t>
    </dgm:pt>
    <dgm:pt modelId="{01A91544-F8E9-43F7-9BB5-45EC5C6DD9D5}" type="pres">
      <dgm:prSet presAssocID="{2B7EB29C-E94C-4835-BD42-7C7F668590B9}" presName="node" presStyleLbl="node1" presStyleIdx="0" presStyleCnt="3" custRadScaleRad="119800" custRadScaleInc="4031">
        <dgm:presLayoutVars>
          <dgm:bulletEnabled val="1"/>
        </dgm:presLayoutVars>
      </dgm:prSet>
      <dgm:spPr/>
      <dgm:t>
        <a:bodyPr/>
        <a:p>
          <a:endParaRPr lang="zh-CN" altLang="en-US"/>
        </a:p>
      </dgm:t>
    </dgm:pt>
    <dgm:pt modelId="{A4241FB8-BC62-4AB3-AE64-7719516C0210}" type="pres">
      <dgm:prSet presAssocID="{F409A69B-670C-4EEA-853E-013079898C2C}" presName="parTrans" presStyleLbl="bgSibTrans2D1" presStyleIdx="1" presStyleCnt="3"/>
      <dgm:spPr/>
      <dgm:t>
        <a:bodyPr/>
        <a:p>
          <a:endParaRPr lang="zh-CN" altLang="en-US"/>
        </a:p>
      </dgm:t>
    </dgm:pt>
    <dgm:pt modelId="{756ACE4A-F03E-495F-BC31-CB0FE9E7683E}" type="pres">
      <dgm:prSet presAssocID="{225388DA-DBB1-4632-A331-7916D49C222E}" presName="node" presStyleLbl="node1" presStyleIdx="1" presStyleCnt="3">
        <dgm:presLayoutVars>
          <dgm:bulletEnabled val="1"/>
        </dgm:presLayoutVars>
      </dgm:prSet>
      <dgm:spPr/>
      <dgm:t>
        <a:bodyPr/>
        <a:p>
          <a:endParaRPr lang="zh-CN" altLang="en-US"/>
        </a:p>
      </dgm:t>
    </dgm:pt>
    <dgm:pt modelId="{256DE1F8-552E-4654-997B-9ABB3387F145}" type="pres">
      <dgm:prSet presAssocID="{7BA9BB5A-DFAD-48D4-8B1D-F90B0988F903}" presName="parTrans" presStyleLbl="bgSibTrans2D1" presStyleIdx="2" presStyleCnt="3"/>
      <dgm:spPr/>
      <dgm:t>
        <a:bodyPr/>
        <a:p>
          <a:endParaRPr lang="zh-CN" altLang="en-US"/>
        </a:p>
      </dgm:t>
    </dgm:pt>
    <dgm:pt modelId="{A0FE335A-ACEC-4D5D-99E5-406462177959}" type="pres">
      <dgm:prSet presAssocID="{85C2989E-13D1-4D5A-B08F-FE0C0B653EF3}" presName="node" presStyleLbl="node1" presStyleIdx="2" presStyleCnt="3" custRadScaleRad="124523" custRadScaleInc="-1291">
        <dgm:presLayoutVars>
          <dgm:bulletEnabled val="1"/>
        </dgm:presLayoutVars>
      </dgm:prSet>
      <dgm:spPr/>
      <dgm:t>
        <a:bodyPr/>
        <a:p>
          <a:endParaRPr lang="zh-CN" altLang="en-US"/>
        </a:p>
      </dgm:t>
    </dgm:pt>
  </dgm:ptLst>
  <dgm:cxnLst>
    <dgm:cxn modelId="{DEDBD46E-D75D-4901-8A46-049EE5EC9C28}" type="presOf" srcId="{2B7EB29C-E94C-4835-BD42-7C7F668590B9}" destId="{01A91544-F8E9-43F7-9BB5-45EC5C6DD9D5}" srcOrd="0" destOrd="0" presId="urn:microsoft.com/office/officeart/2005/8/layout/radial4#1"/>
    <dgm:cxn modelId="{814D8824-D947-47B4-82AD-6B75D8832324}" type="presOf" srcId="{F409A69B-670C-4EEA-853E-013079898C2C}" destId="{A4241FB8-BC62-4AB3-AE64-7719516C0210}" srcOrd="0" destOrd="0" presId="urn:microsoft.com/office/officeart/2005/8/layout/radial4#1"/>
    <dgm:cxn modelId="{15A3E06E-B305-4340-A5CB-64447EED61DE}" type="presOf" srcId="{225388DA-DBB1-4632-A331-7916D49C222E}" destId="{756ACE4A-F03E-495F-BC31-CB0FE9E7683E}" srcOrd="0" destOrd="0" presId="urn:microsoft.com/office/officeart/2005/8/layout/radial4#1"/>
    <dgm:cxn modelId="{E8220DEC-76E9-437F-A719-725215434E56}" srcId="{4D223C72-2577-41F5-81CD-9A7A335B3F5A}" destId="{85C2989E-13D1-4D5A-B08F-FE0C0B653EF3}" srcOrd="2" destOrd="0" parTransId="{7BA9BB5A-DFAD-48D4-8B1D-F90B0988F903}" sibTransId="{80741A63-3B22-42AC-B41C-8A81D9193D42}"/>
    <dgm:cxn modelId="{EB4AF1EB-EDF9-4740-B675-8E60DEE6DAC1}" type="presOf" srcId="{80D7F073-2417-42EF-9342-8B5AEA6B33EF}" destId="{E81A2982-5205-41DB-9239-4D5BF467323F}" srcOrd="0" destOrd="0" presId="urn:microsoft.com/office/officeart/2005/8/layout/radial4#1"/>
    <dgm:cxn modelId="{B4DA6B36-5B94-426F-A949-D8899A2C99D9}" srcId="{4D223C72-2577-41F5-81CD-9A7A335B3F5A}" destId="{225388DA-DBB1-4632-A331-7916D49C222E}" srcOrd="1" destOrd="0" parTransId="{F409A69B-670C-4EEA-853E-013079898C2C}" sibTransId="{B25D8DC7-5FBF-4722-8F37-22A3C1F449F9}"/>
    <dgm:cxn modelId="{33331C60-E115-4137-BF3B-14CC36C93A3F}" type="presOf" srcId="{4D223C72-2577-41F5-81CD-9A7A335B3F5A}" destId="{7C8F2D27-936D-4FA7-9564-85F3935A2631}" srcOrd="0" destOrd="0" presId="urn:microsoft.com/office/officeart/2005/8/layout/radial4#1"/>
    <dgm:cxn modelId="{810D82CD-0C63-478F-B8AD-494F61E0ED57}" type="presOf" srcId="{7BA9BB5A-DFAD-48D4-8B1D-F90B0988F903}" destId="{256DE1F8-552E-4654-997B-9ABB3387F145}" srcOrd="0" destOrd="0" presId="urn:microsoft.com/office/officeart/2005/8/layout/radial4#1"/>
    <dgm:cxn modelId="{6EB6E9D4-3166-4AFE-B6CB-C9DC816CA918}" type="presOf" srcId="{82F1D4ED-E9F4-4844-A317-8F77626EBFE4}" destId="{B3115A50-9FDB-4275-8386-1FE5D438AC68}" srcOrd="0" destOrd="0" presId="urn:microsoft.com/office/officeart/2005/8/layout/radial4#1"/>
    <dgm:cxn modelId="{392D4824-6755-45A1-91BA-08E3A7397415}" srcId="{4D223C72-2577-41F5-81CD-9A7A335B3F5A}" destId="{2B7EB29C-E94C-4835-BD42-7C7F668590B9}" srcOrd="0" destOrd="0" parTransId="{80D7F073-2417-42EF-9342-8B5AEA6B33EF}" sibTransId="{B7CD8C53-CAC1-4143-A382-8265273975F7}"/>
    <dgm:cxn modelId="{4BB6C786-D566-4335-9406-8AE4968BAB99}" srcId="{82F1D4ED-E9F4-4844-A317-8F77626EBFE4}" destId="{4D223C72-2577-41F5-81CD-9A7A335B3F5A}" srcOrd="0" destOrd="0" parTransId="{4C174836-8B4B-431C-8403-3828DB357AAC}" sibTransId="{50DA1E28-8228-436A-B2EB-2AF449D46F1B}"/>
    <dgm:cxn modelId="{E1A9D3D8-71F4-4ACD-9D71-F2AADA118EA9}" type="presOf" srcId="{85C2989E-13D1-4D5A-B08F-FE0C0B653EF3}" destId="{A0FE335A-ACEC-4D5D-99E5-406462177959}" srcOrd="0" destOrd="0" presId="urn:microsoft.com/office/officeart/2005/8/layout/radial4#1"/>
    <dgm:cxn modelId="{DF314A0B-5F3E-42B5-990D-DB39869D31C1}" type="presParOf" srcId="{B3115A50-9FDB-4275-8386-1FE5D438AC68}" destId="{7C8F2D27-936D-4FA7-9564-85F3935A2631}" srcOrd="0" destOrd="0" presId="urn:microsoft.com/office/officeart/2005/8/layout/radial4#1"/>
    <dgm:cxn modelId="{7AF1379E-F7EE-4C3B-A3CC-528039E6F503}" type="presParOf" srcId="{B3115A50-9FDB-4275-8386-1FE5D438AC68}" destId="{E81A2982-5205-41DB-9239-4D5BF467323F}" srcOrd="1" destOrd="0" presId="urn:microsoft.com/office/officeart/2005/8/layout/radial4#1"/>
    <dgm:cxn modelId="{C16D3EAF-B45F-4837-878A-B34756363E43}" type="presParOf" srcId="{B3115A50-9FDB-4275-8386-1FE5D438AC68}" destId="{01A91544-F8E9-43F7-9BB5-45EC5C6DD9D5}" srcOrd="2" destOrd="0" presId="urn:microsoft.com/office/officeart/2005/8/layout/radial4#1"/>
    <dgm:cxn modelId="{3AB5F31F-3875-4926-802F-189FD20BBE8F}" type="presParOf" srcId="{B3115A50-9FDB-4275-8386-1FE5D438AC68}" destId="{A4241FB8-BC62-4AB3-AE64-7719516C0210}" srcOrd="3" destOrd="0" presId="urn:microsoft.com/office/officeart/2005/8/layout/radial4#1"/>
    <dgm:cxn modelId="{909E5E7C-9BC3-4678-9FC0-2EA45E615F19}" type="presParOf" srcId="{B3115A50-9FDB-4275-8386-1FE5D438AC68}" destId="{756ACE4A-F03E-495F-BC31-CB0FE9E7683E}" srcOrd="4" destOrd="0" presId="urn:microsoft.com/office/officeart/2005/8/layout/radial4#1"/>
    <dgm:cxn modelId="{530281C6-5772-4E5E-90EC-2BEA75C7D464}" type="presParOf" srcId="{B3115A50-9FDB-4275-8386-1FE5D438AC68}" destId="{256DE1F8-552E-4654-997B-9ABB3387F145}" srcOrd="5" destOrd="0" presId="urn:microsoft.com/office/officeart/2005/8/layout/radial4#1"/>
    <dgm:cxn modelId="{C28EDD5F-DF9C-47EB-9F66-DBC0B2BE7D52}" type="presParOf" srcId="{B3115A50-9FDB-4275-8386-1FE5D438AC68}" destId="{A0FE335A-ACEC-4D5D-99E5-406462177959}" srcOrd="6" destOrd="0" presId="urn:microsoft.com/office/officeart/2005/8/layout/radial4#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581525" cy="2419350"/>
        <a:chOff x="0" y="0"/>
        <a:chExt cx="4581525" cy="2419350"/>
      </a:xfrm>
    </dsp:grpSpPr>
    <dsp:sp modelId="{7C8F2D27-936D-4FA7-9564-85F3935A2631}">
      <dsp:nvSpPr>
        <dsp:cNvPr id="3" name="椭圆 2"/>
        <dsp:cNvSpPr/>
      </dsp:nvSpPr>
      <dsp:spPr bwMode="white">
        <a:xfrm>
          <a:off x="1738366" y="1314557"/>
          <a:ext cx="1104793" cy="1104793"/>
        </a:xfrm>
        <a:prstGeom prst="ellipse">
          <a:avLst/>
        </a:prstGeom>
      </dsp:spPr>
      <dsp:style>
        <a:lnRef idx="2">
          <a:schemeClr val="lt1"/>
        </a:lnRef>
        <a:fillRef idx="1">
          <a:schemeClr val="accent1"/>
        </a:fillRef>
        <a:effectRef idx="0">
          <a:scrgbClr r="0" g="0" b="0"/>
        </a:effectRef>
        <a:fontRef idx="minor">
          <a:schemeClr val="lt1"/>
        </a:fontRef>
      </dsp:style>
      <dsp:txBody>
        <a:bodyPr lIns="12700" tIns="12700" rIns="12700" bIns="1270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2000" b="1"/>
            <a:t>提高学生综合能力为主线</a:t>
          </a:r>
        </a:p>
      </dsp:txBody>
      <dsp:txXfrm>
        <a:off x="1738366" y="1314557"/>
        <a:ext cx="1104793" cy="1104793"/>
      </dsp:txXfrm>
    </dsp:sp>
    <dsp:sp modelId="{E81A2982-5205-41DB-9239-4D5BF467323F}">
      <dsp:nvSpPr>
        <dsp:cNvPr id="4" name="左箭头 3"/>
        <dsp:cNvSpPr/>
      </dsp:nvSpPr>
      <dsp:spPr bwMode="white">
        <a:xfrm rot="13045116">
          <a:off x="824798" y="1014977"/>
          <a:ext cx="1116299" cy="314866"/>
        </a:xfrm>
        <a:prstGeom prst="lef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Xfrm rot="13045116">
        <a:off x="824798" y="1014977"/>
        <a:ext cx="1116299" cy="314866"/>
      </dsp:txXfrm>
    </dsp:sp>
    <dsp:sp modelId="{01A91544-F8E9-43F7-9BB5-45EC5C6DD9D5}">
      <dsp:nvSpPr>
        <dsp:cNvPr id="5" name="圆角矩形 4"/>
        <dsp:cNvSpPr/>
      </dsp:nvSpPr>
      <dsp:spPr bwMode="white">
        <a:xfrm>
          <a:off x="389079" y="393699"/>
          <a:ext cx="1049553" cy="839642"/>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800" b="1"/>
            <a:t>教</a:t>
          </a:r>
          <a:r>
            <a:rPr lang="zh-CN" altLang="en-US" sz="1800" b="1" baseline="0">
              <a:solidFill>
                <a:schemeClr val="bg1"/>
              </a:solidFill>
            </a:rPr>
            <a:t>育内</a:t>
          </a:r>
          <a:r>
            <a:rPr lang="zh-CN" altLang="en-US" sz="1800" b="1"/>
            <a:t>容与岗位需求一体化</a:t>
          </a:r>
        </a:p>
      </dsp:txBody>
      <dsp:txXfrm>
        <a:off x="389079" y="393699"/>
        <a:ext cx="1049553" cy="839642"/>
      </dsp:txXfrm>
    </dsp:sp>
    <dsp:sp modelId="{A4241FB8-BC62-4AB3-AE64-7719516C0210}">
      <dsp:nvSpPr>
        <dsp:cNvPr id="6" name="左箭头 5"/>
        <dsp:cNvSpPr/>
      </dsp:nvSpPr>
      <dsp:spPr bwMode="white">
        <a:xfrm rot="16199999">
          <a:off x="1868000" y="709756"/>
          <a:ext cx="845526" cy="314866"/>
        </a:xfrm>
        <a:prstGeom prst="lef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Xfrm rot="16199999">
        <a:off x="1868000" y="709756"/>
        <a:ext cx="845526" cy="314866"/>
      </dsp:txXfrm>
    </dsp:sp>
    <dsp:sp modelId="{756ACE4A-F03E-495F-BC31-CB0FE9E7683E}">
      <dsp:nvSpPr>
        <dsp:cNvPr id="7" name="圆角矩形 6"/>
        <dsp:cNvSpPr/>
      </dsp:nvSpPr>
      <dsp:spPr bwMode="white">
        <a:xfrm>
          <a:off x="1765986" y="0"/>
          <a:ext cx="1049553" cy="839642"/>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800" b="1" baseline="0"/>
            <a:t>课程标准与职业标准一体化</a:t>
          </a:r>
        </a:p>
      </dsp:txBody>
      <dsp:txXfrm>
        <a:off x="1765986" y="0"/>
        <a:ext cx="1049553" cy="839642"/>
      </dsp:txXfrm>
    </dsp:sp>
    <dsp:sp modelId="{256DE1F8-552E-4654-997B-9ABB3387F145}">
      <dsp:nvSpPr>
        <dsp:cNvPr id="8" name="左箭头 7"/>
        <dsp:cNvSpPr/>
      </dsp:nvSpPr>
      <dsp:spPr bwMode="white">
        <a:xfrm rot="-2146475">
          <a:off x="2655412" y="1021329"/>
          <a:ext cx="1180888" cy="314866"/>
        </a:xfrm>
        <a:prstGeom prst="lef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Xfrm rot="-2146475">
        <a:off x="2655412" y="1021329"/>
        <a:ext cx="1180888" cy="314866"/>
      </dsp:txXfrm>
    </dsp:sp>
    <dsp:sp modelId="{A0FE335A-ACEC-4D5D-99E5-406462177959}">
      <dsp:nvSpPr>
        <dsp:cNvPr id="9" name="圆角矩形 8"/>
        <dsp:cNvSpPr/>
      </dsp:nvSpPr>
      <dsp:spPr bwMode="white">
        <a:xfrm>
          <a:off x="3228000" y="393679"/>
          <a:ext cx="1049553" cy="839642"/>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800" b="1" baseline="0"/>
            <a:t>理论教学与实践教学一体化</a:t>
          </a:r>
        </a:p>
      </dsp:txBody>
      <dsp:txXfrm>
        <a:off x="3228000" y="393679"/>
        <a:ext cx="1049553" cy="839642"/>
      </dsp:txXfrm>
    </dsp:sp>
  </dsp:spTree>
</dsp:drawing>
</file>

<file path=word/diagrams/layout1.xml><?xml version="1.0" encoding="utf-8"?>
<dgm:layoutDef xmlns:dgm="http://schemas.openxmlformats.org/drawingml/2006/diagram" xmlns:a="http://schemas.openxmlformats.org/drawingml/2006/main" uniqueId="urn:microsoft.com/office/officeart/2005/8/layout/radial4#1">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4E932-7E76-41FE-9F15-C0BF8953574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25</Pages>
  <Words>11248</Words>
  <Characters>11574</Characters>
  <Lines>111</Lines>
  <Paragraphs>31</Paragraphs>
  <TotalTime>8</TotalTime>
  <ScaleCrop>false</ScaleCrop>
  <LinksUpToDate>false</LinksUpToDate>
  <CharactersWithSpaces>11888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2022-08-21T04:34:00Z</dcterms:created>
  <dc:creator>Lenovo</dc:creator>
  <cp:lastModifiedBy>05</cp:lastModifiedBy>
  <cp:lastPrinted>2015-12-27T04:56:00Z</cp:lastPrinted>
  <dcterms:modified xsi:type="dcterms:W3CDTF">2022-08-22T07:37:41Z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312A9E5B5F75456CBC02F5F72535B568</vt:lpwstr>
  </property>
</Properties>
</file>